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Asensus Surgical,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43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0-19437</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11-2962080</w:t>
            </w:r>
          </w:p>
        </w:tc>
      </w:tr>
      <w:tr>
        <w:trPr>
          <w:trHeight w:val="216"/>
        </w:trPr>
        <w:tc>
          <w:tcPr>
            <w:tcW w:w="43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tc>
        <w:tc>
          <w:tcPr>
            <w:tcW w:w="30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30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TW Alexander Drive,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Durham, NC 27703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919-765-8400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6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37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6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ASXC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NYSE American</w:t>
            </w:r>
          </w:p>
        </w:tc>
      </w:tr>
      <w:tr>
        <w:trPr>
          <w:trHeight w:val="238"/>
        </w:trPr>
        <w:tc>
          <w:tcPr>
            <w:tcW w:w="46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$0.001 par value per share</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August 20, 2024, Asensus Surgical, Inc., a Delaware corporation, (the “Company”) held a virtual special meeting of stockholders (the “Special Meeting”) to consider and vote on the proposals set forth in the definitive proxy statement of the Company prepared in connection with the Merger (as defined below) filed with the U.S. Securities and Exchange Commission (the “SEC”) on July 5, 2024.</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At the Special Meeting, the total number of shares represented in person or by proxy was 161,446,008 of the 272,616,330 shares of Common Stock of the Company outstanding and entitled to vote at the Special Meeting as of the record date, June 28, 2024, each of which was entitled to one vote for each proposal at the Special Meeting. This represents approximately 59.2% of the total shares of Common Stock of the Company outstanding and entitled to vote, constituting a quorum to conduct business. The following matters were voted upon at the Special Meeting:</w:t>
      </w:r>
    </w:p>
    <w:p>
      <w:pPr>
        <w:spacing w:after="0" w:line="180" w:lineRule="exact"/>
        <w:rPr>
          <w:sz w:val="20"/>
          <w:szCs w:val="20"/>
          <w:color w:val="auto"/>
        </w:rPr>
      </w:pPr>
    </w:p>
    <w:p>
      <w:pPr>
        <w:ind w:right="20" w:firstLine="8"/>
        <w:spacing w:after="0" w:line="261" w:lineRule="auto"/>
        <w:tabs>
          <w:tab w:leader="none" w:pos="6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Agreement Proposal</w:t>
      </w:r>
      <w:r>
        <w:rPr>
          <w:rFonts w:ascii="Times New Roman" w:cs="Times New Roman" w:eastAsia="Times New Roman" w:hAnsi="Times New Roman"/>
          <w:sz w:val="18"/>
          <w:szCs w:val="18"/>
          <w:color w:val="auto"/>
        </w:rPr>
        <w:t>. The stockholders voted to approve the proposal to approve and adopt the Agreement and Plan of Merger, dated as of June 6, 2024, by and among the Company, KARL STORZ Endoscopy-America, Inc., a California corporation (“Parent”), and Karl Storz California Inc., a California corporation (“Merger Sub”), pursuant to which the Company would be acquired by way of a merger with and into Merger Sub with the Company surviving the merger and becoming a wholly-owned subsidiary of Parent (the “Merger”). The stockholder vote was as follows:</w:t>
      </w:r>
    </w:p>
    <w:p>
      <w:pPr>
        <w:sectPr>
          <w:pgSz w:w="11900" w:h="16838" w:orient="portrait"/>
          <w:cols w:equalWidth="0" w:num="1">
            <w:col w:w="11220"/>
          </w:cols>
          <w:pgMar w:left="320" w:top="576" w:right="359" w:bottom="1440" w:gutter="0" w:footer="0" w:header="0"/>
        </w:sectPr>
      </w:pP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137,258,840 Votes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23,156,038 Votes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1,051,130 Votes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resolution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resolution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00" w:lineRule="exact"/>
        <w:rPr>
          <w:sz w:val="20"/>
          <w:szCs w:val="20"/>
          <w:color w:val="auto"/>
        </w:rPr>
      </w:pPr>
    </w:p>
    <w:p>
      <w:pPr>
        <w:sectPr>
          <w:pgSz w:w="11900" w:h="16838" w:orient="portrait"/>
          <w:cols w:equalWidth="0" w:num="2">
            <w:col w:w="1980" w:space="720"/>
            <w:col w:w="8520"/>
          </w:cols>
          <w:pgMar w:left="320" w:top="576" w:right="359" w:bottom="1440" w:gutter="0" w:footer="0" w:header="0"/>
          <w:type w:val="continuous"/>
        </w:sectPr>
      </w:pPr>
    </w:p>
    <w:p>
      <w:pPr>
        <w:spacing w:after="0" w:line="7" w:lineRule="exact"/>
        <w:rPr>
          <w:sz w:val="20"/>
          <w:szCs w:val="20"/>
          <w:color w:val="auto"/>
        </w:rPr>
      </w:pPr>
    </w:p>
    <w:p>
      <w:pPr>
        <w:ind w:right="220" w:firstLine="8"/>
        <w:spacing w:after="0" w:line="282" w:lineRule="auto"/>
        <w:tabs>
          <w:tab w:leader="none" w:pos="6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Merger-Related Compensation Proposal</w:t>
      </w:r>
      <w:r>
        <w:rPr>
          <w:rFonts w:ascii="Times New Roman" w:cs="Times New Roman" w:eastAsia="Times New Roman" w:hAnsi="Times New Roman"/>
          <w:sz w:val="18"/>
          <w:szCs w:val="18"/>
          <w:color w:val="auto"/>
        </w:rPr>
        <w:t>. The stockholders voted to approve, in a non-binding advisory basis, certain compensation that may be paid or become payable to the Company’s named executive officers in connection with the Merger. The stockholder vote was as follows:</w:t>
      </w:r>
    </w:p>
    <w:p>
      <w:pPr>
        <w:sectPr>
          <w:pgSz w:w="11900" w:h="16838" w:orient="portrait"/>
          <w:cols w:equalWidth="0" w:num="1">
            <w:col w:w="11220"/>
          </w:cols>
          <w:pgMar w:left="320" w:top="576" w:right="35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123,817,981 Votes</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34,078,887 Votes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3,569,139 Votes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resolution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AGAINST the resolution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00" w:lineRule="exact"/>
        <w:rPr>
          <w:sz w:val="20"/>
          <w:szCs w:val="20"/>
          <w:color w:val="auto"/>
        </w:rPr>
      </w:pPr>
    </w:p>
    <w:p>
      <w:pPr>
        <w:sectPr>
          <w:pgSz w:w="11900" w:h="16838" w:orient="portrait"/>
          <w:cols w:equalWidth="0" w:num="2">
            <w:col w:w="1980" w:space="720"/>
            <w:col w:w="8520"/>
          </w:cols>
          <w:pgMar w:left="320" w:top="576" w:right="359" w:bottom="1440" w:gutter="0" w:footer="0" w:header="0"/>
          <w:type w:val="continuous"/>
        </w:sectPr>
      </w:pPr>
    </w:p>
    <w:p>
      <w:pPr>
        <w:spacing w:after="0" w:line="7" w:lineRule="exact"/>
        <w:rPr>
          <w:sz w:val="20"/>
          <w:szCs w:val="20"/>
          <w:color w:val="auto"/>
        </w:rPr>
      </w:pPr>
    </w:p>
    <w:p>
      <w:pPr>
        <w:ind w:right="60" w:firstLine="8"/>
        <w:spacing w:after="0" w:line="266"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 The proposal to adjourn the Special Meeting, if necessary or appropriate, to solicit additional proxies if there were insufficient votes to approve the Merger Agreement Proposal was not voted upon at the Special Meeting because there were sufficient votes to approve the Merger Agreement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intend to close the Merger transaction on August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ASENSUS SURGICAL, INC.</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20,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Shameze Rampertab</w:t>
            </w:r>
          </w:p>
        </w:tc>
      </w:tr>
      <w:tr>
        <w:trPr>
          <w:trHeight w:val="191"/>
        </w:trPr>
        <w:tc>
          <w:tcPr>
            <w:tcW w:w="564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Shameze Rampertab</w:t>
            </w:r>
          </w:p>
        </w:tc>
      </w:tr>
      <w:tr>
        <w:trPr>
          <w:trHeight w:val="216"/>
        </w:trPr>
        <w:tc>
          <w:tcPr>
            <w:tcW w:w="56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5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1" w:lineRule="exact"/>
        <w:rPr>
          <w:sz w:val="20"/>
          <w:szCs w:val="20"/>
          <w:color w:val="auto"/>
        </w:rPr>
      </w:pPr>
    </w:p>
    <w:sectPr>
      <w:pgSz w:w="11900" w:h="16838" w:orient="portrait"/>
      <w:cols w:equalWidth="0" w:num="1">
        <w:col w:w="10920"/>
      </w:cols>
      <w:pgMar w:left="320" w:top="57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2024-08-20T10:44:10Z</dcterms:created>
  <dcterms:modified xsi:type="dcterms:W3CDTF">2024-08-20T10:44:10Z</dcterms:modified>
</cp:coreProperties>
</file>