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ASENSUS SURGICAL,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380365</wp:posOffset>
            </wp:positionV>
            <wp:extent cx="2143125"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883285"/>
                    </a:xfrm>
                    <a:prstGeom prst="rect">
                      <a:avLst/>
                    </a:prstGeom>
                    <a:noFill/>
                  </pic:spPr>
                </pic:pic>
              </a:graphicData>
            </a:graphic>
          </wp:anchor>
        </w:drawing>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TW Alexander Drive, Suite 160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(919) 765-8400</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Schedule 14A relates to the proposed acquisition of Asensus Surgical, Inc., a Delaware corporation (the “Company”) by KARL STORZ Endoscopy-America, Inc., a California corporation (“Parent”) pursuant to an Agreement and Plan of Merger (the “Merger Agreement”), among the Company, Parent and Karl Storz California Inc., a California corporation and a wholly owned subsidiary of Parent (“Merger Sub”), dated June 6, 2024. On June 7, 2024, Anthony Fernando, the Chief Executive Officer of the Company, sent the below email to all employees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It was good seeing everyone this morning, and I was excited to share the news about us signing the Definitive Merger Agreement with KARL STORZ. We are on track and making progress toward the closing of this transaction, which we estimate will occur in the third quarter of 2024.</w:t>
      </w:r>
    </w:p>
    <w:p>
      <w:pPr>
        <w:spacing w:after="0" w:line="18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 wanted to reiterate what we discussed during our all-hands meeting. This merger is a three step process. We announced the letter of intent on April 3, 2024 and now, ten weeks later, we have signed the Definitive Merger Agreement, as planned. The last step of this process is for us to seek stockholder approval which involves filing a proxy statement and holding a special meeting of our stockholders. We will begin this process promptly and we will keep you informed of our progress. For those of you that are stockholders of the company, we will seek your vote as well through the definitive proxy statement.</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Over the past several weeks we have had many conversations about why this merger makes sense for Asensus and for KARL STORZ. It is exciting to see two like-minded companies come together with the intent of leveraging each other’s strengths to create something greater to benefit patients and surgeons worldwide. As I have stated before, the combination of our two businesses is a natural evolution of our ongoing relationship with KARL STORZ that has been strengthened as we have been working closely together to negotiate various collaboration arrangements over the past two years. KARL STORZ recognizes the unique value of our technology and our team, and we have and continue to admire the KARL STORZ surgical technologies and their market leadership position globally. KARL STORZ remains enthusiastic about completing the development of the LUNA™ System and ISU™. We expect the combination of our teams and technologies to provide new opportunities and growth for the Company and for all of you.</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 also received a short note from Karl-Christian Storz, CEO of KARL STORZ, sharing his excitement about this upcoming merger, that he requested be shared with all of you. Please see attached.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that we have not closed the transaction, it is important to note that only authorized spokespeople should speak with investors or reporters or the public generally. Due to the nature of this agreement and the heightened level of regulatory scrutiny, it is critical that we speak with one voice. Directing all inbound inquiries to a single source will help us achieve this. If you are contacted by an investor or a member of the media or the public, please refer them to Shameze, Josh or myself.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ind w:right="40"/>
        <w:spacing w:after="0" w:line="261" w:lineRule="auto"/>
        <w:rPr>
          <w:sz w:val="20"/>
          <w:szCs w:val="20"/>
          <w:color w:val="auto"/>
        </w:rPr>
      </w:pPr>
      <w:r>
        <w:rPr>
          <w:rFonts w:ascii="Times New Roman" w:cs="Times New Roman" w:eastAsia="Times New Roman" w:hAnsi="Times New Roman"/>
          <w:sz w:val="18"/>
          <w:szCs w:val="18"/>
          <w:color w:val="auto"/>
        </w:rPr>
        <w:t>I want to thank you once again for all your efforts and for having confidence in me and the leadership team to map our path forward and secure the resources and funding to realize our vision of digitizing the interface between surgeon and patient. While this is an exciting announcement and a step forward, it is business as usual for the immediate future, and we must maintain our focus on delivering on this year’s OKR’s and continuing to provide the same high-quality solutions that enhance surgical procedures worldwide.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certain forward-looking statements within the meaning of the Private Securities Litigation Reform Act of 1995. Such statements include statements concerning anticipated future events and expectations that are not historical facts. All statements other than statements of historical fact are statements that could be deemed forward-looking statements. Actual results may vary materially from those expressed or implied by the forward-looking statements herein due to risks and uncertainties. These risks and uncertainties include, but are not limited to, those associated with: the parties’ ability to meet expectations regarding the timing and completion of the Merger; the occurrence of any event, change or other circumstance that would give rise to the termination of the Merger Agreement; the fact that the Company’s stockholders may not approve the Merger Agreement and the Merger; the fact that certain terminations of the Merger Agreement require the Company to pay a termination fee of $3,600,000; the failure to satisfy each of the conditions to the consummation of the Merger; the disruption of management’s attention from ongoing business operations due to the Merger; the effect of the announcement or pendency of the Merger on the Company’s relationships with its customers, as well as its operating results and business generally; the outcome of any legal proceedings related to the Merger; retention of employees of the Company following the announcement of the Merger; the fact that the Company’s stock price may decline significantly if the Merger is not completed; the fact that the Company may be obligated to repay amounts advanced under a Secured Promissory Note to KARL STORZ (the “Note”) under certain circumstances and whether the Company will be able to repay the Note if the Merger is not completed, the availability of the remaining $10 million under the Note and other factors described under the heading “Risk Factors” in the Company’s Annual Report on Form 10-K for the fiscal year ended December 31, 2023, as amended, and its Quarterly Report on Form 10-Q for the quarter ended March 31, 2024, as each may be updated or supplemented by subsequent reports that the Company has filed or files with the SEC. The forward-looking statements speak only as of the date such statements are made. Neither Parent nor the Company is under any obligation to, and each expressly disclaim any obligation to, update or alter any forward-looking statements, whether as a result of new information, future events, changes in assumptions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plans to file with the Securities and Exchange Commission (the “SEC”) preliminary and definitive proxy statements and other relevant documents. This communication is not a substitute for the proxy statement or any other document that the Company may file with the SEC or send to its stockholders in connection with the Merger. </w:t>
      </w:r>
      <w:r>
        <w:rPr>
          <w:rFonts w:ascii="Times New Roman" w:cs="Times New Roman" w:eastAsia="Times New Roman" w:hAnsi="Times New Roman"/>
          <w:sz w:val="18"/>
          <w:szCs w:val="18"/>
          <w:b w:val="1"/>
          <w:bCs w:val="1"/>
          <w:i w:val="1"/>
          <w:iCs w:val="1"/>
          <w:color w:val="auto"/>
        </w:rPr>
        <w:t>Before making any voting decision,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are urged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read all relevant documents filed with the SEC, including the proxy statement, when they become available because they will contain important information about the Merger. </w:t>
      </w:r>
      <w:r>
        <w:rPr>
          <w:rFonts w:ascii="Times New Roman" w:cs="Times New Roman" w:eastAsia="Times New Roman" w:hAnsi="Times New Roman"/>
          <w:sz w:val="18"/>
          <w:szCs w:val="18"/>
          <w:color w:val="auto"/>
        </w:rPr>
        <w:t>Investors and security holders will be able to obtain the proxy statement and other documents filed by the Company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SEC (when available) free of charge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from the Company at the investor relations page of its website, </w:t>
      </w:r>
      <w:r>
        <w:rPr>
          <w:rFonts w:ascii="Times New Roman" w:cs="Times New Roman" w:eastAsia="Times New Roman" w:hAnsi="Times New Roman"/>
          <w:sz w:val="18"/>
          <w:szCs w:val="18"/>
          <w:u w:val="single" w:color="auto"/>
          <w:color w:val="auto"/>
        </w:rPr>
        <w:t>www.asensus.com</w:t>
      </w:r>
      <w:r>
        <w:rPr>
          <w:rFonts w:ascii="Times New Roman" w:cs="Times New Roman" w:eastAsia="Times New Roman" w:hAnsi="Times New Roman"/>
          <w:sz w:val="18"/>
          <w:szCs w:val="18"/>
          <w:color w:val="auto"/>
        </w:rPr>
        <w:t>, Investors. These documents are not currently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disclosure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from the holders of the Company’s common stock in respect of the Merger. Information about the Company’s directors and executive officers is set forth in the Company’s Annual Report on Form 10-K for the year ended December 31, 2023, filed with the SEC on March 21, 2024, as amended by the Form 10-K/A filed with the SEC on April 29, 2024. The names of participants in the proxy solicitation and a description of their direct and indirect interests, by security holdings or otherwise, will be contained in the proxy statement and other relevant documents to be filed by the Company with the SEC in respect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9695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6951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2024-06-07T15:52:01Z</dcterms:created>
  <dcterms:modified xsi:type="dcterms:W3CDTF">2024-06-07T15:52:01Z</dcterms:modified>
</cp:coreProperties>
</file>