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Starling William N JR</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ASENSUS SURGICAL,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ASXC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Borders>
              <w:bottom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7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08/22/2024</w:t>
            </w:r>
          </w:p>
        </w:tc>
        <w:tc>
          <w:tcPr>
            <w:tcW w:w="11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ASENSUS SURGICAL, INC.</w:t>
            </w:r>
          </w:p>
        </w:tc>
        <w:tc>
          <w:tcPr>
            <w:tcW w:w="1200" w:type="dxa"/>
            <w:vAlign w:val="bottom"/>
          </w:tcPr>
          <w:p>
            <w:pPr>
              <w:spacing w:after="0"/>
              <w:rPr>
                <w:sz w:val="11"/>
                <w:szCs w:val="11"/>
                <w:color w:val="auto"/>
              </w:rPr>
            </w:pPr>
          </w:p>
        </w:tc>
        <w:tc>
          <w:tcPr>
            <w:tcW w:w="274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 TW ALEXANDER DRIVE, SUITE 160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DURHAM</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27703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08/22/2024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13,846</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08/22/2024</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39,134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disposed of pursuant to the terms of an Agreement and Plan of Merger (the "Merger Agreement")dated as of June 6, 2024, by and among Asensus Surgical, Inc., a Delaware corporation ("Asensus"), KARL STORZ Endoscopy-America, Inc., a California corporation ("Parent"), and Karl Storz California Inc., a California corporation ("Merger Sub"), pursuant to which Merger Sub merged with and into Asensus with Asensus as the surviving corporation of the merger (the "Merger"). Upon the effective time of the Merger, the reporting person received $0.35 in cash, without interest and less applicable withholding taxes for each share of common stock.</w:t>
      </w:r>
    </w:p>
    <w:p>
      <w:pPr>
        <w:spacing w:after="0" w:line="4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Joshua Weingard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2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William</w:t>
        <w:tab/>
        <w:t>08/22/2024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Starling,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4130" TargetMode="External"/><Relationship Id="rId14" Type="http://schemas.openxmlformats.org/officeDocument/2006/relationships/hyperlink" Target="http://www.sec.gov/cgi-bin/browse-edgar?action=getcompany&amp;CIK=00008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2024-08-22T08:09:39Z</dcterms:created>
  <dcterms:modified xsi:type="dcterms:W3CDTF">2024-08-22T08:09:39Z</dcterms:modified>
</cp:coreProperties>
</file>