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Asensus Surgical,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04367G103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July 5, 2024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33"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45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04367G103</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Management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21,469,717</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21,469,717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Aggregate Amount Beneficially Owned by Each Reporting Person </w:t>
      </w:r>
      <w:r>
        <w:rPr>
          <w:rFonts w:ascii="Times New Roman" w:cs="Times New Roman" w:eastAsia="Times New Roman" w:hAnsi="Times New Roman"/>
          <w:sz w:val="19"/>
          <w:szCs w:val="19"/>
          <w:b w:val="1"/>
          <w:bCs w:val="1"/>
          <w:color w:val="auto"/>
        </w:rPr>
        <w:t>21,469,717</w:t>
      </w:r>
    </w:p>
    <w:p>
      <w:pPr>
        <w:spacing w:after="0" w:line="244" w:lineRule="exact"/>
        <w:rPr>
          <w:rFonts w:ascii="Times New Roman" w:cs="Times New Roman" w:eastAsia="Times New Roman" w:hAnsi="Times New Roman"/>
          <w:sz w:val="19"/>
          <w:szCs w:val="19"/>
          <w:color w:val="auto"/>
        </w:rPr>
      </w:pPr>
    </w:p>
    <w:p>
      <w:pPr>
        <w:ind w:left="1300" w:right="2999" w:hanging="644"/>
        <w:spacing w:after="0" w:line="269" w:lineRule="auto"/>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7.9%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OO</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22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04367G103</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Management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21,469,717</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21,469,717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Aggregate Amount Beneficially Owned by Each Reporting Person </w:t>
      </w:r>
      <w:r>
        <w:rPr>
          <w:rFonts w:ascii="Times New Roman" w:cs="Times New Roman" w:eastAsia="Times New Roman" w:hAnsi="Times New Roman"/>
          <w:sz w:val="19"/>
          <w:szCs w:val="19"/>
          <w:b w:val="1"/>
          <w:bCs w:val="1"/>
          <w:color w:val="auto"/>
        </w:rPr>
        <w:t>21,469,717</w:t>
      </w:r>
    </w:p>
    <w:p>
      <w:pPr>
        <w:spacing w:after="0" w:line="244" w:lineRule="exact"/>
        <w:rPr>
          <w:rFonts w:ascii="Times New Roman" w:cs="Times New Roman" w:eastAsia="Times New Roman" w:hAnsi="Times New Roman"/>
          <w:sz w:val="19"/>
          <w:szCs w:val="19"/>
          <w:color w:val="auto"/>
        </w:rPr>
      </w:pPr>
    </w:p>
    <w:p>
      <w:pPr>
        <w:ind w:left="1300" w:right="2999" w:hanging="644"/>
        <w:spacing w:after="0" w:line="269"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7.9%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2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04367G103</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Partners II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6"/>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282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18,291,530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18,291,530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Aggregate Amount Beneficially Owned by Each Reporting Person </w:t>
      </w:r>
      <w:r>
        <w:rPr>
          <w:rFonts w:ascii="Times New Roman" w:cs="Times New Roman" w:eastAsia="Times New Roman" w:hAnsi="Times New Roman"/>
          <w:sz w:val="19"/>
          <w:szCs w:val="19"/>
          <w:b w:val="1"/>
          <w:bCs w:val="1"/>
          <w:color w:val="auto"/>
        </w:rPr>
        <w:t>18,291,530</w:t>
      </w:r>
    </w:p>
    <w:p>
      <w:pPr>
        <w:spacing w:after="0" w:line="244" w:lineRule="exact"/>
        <w:rPr>
          <w:rFonts w:ascii="Times New Roman" w:cs="Times New Roman" w:eastAsia="Times New Roman" w:hAnsi="Times New Roman"/>
          <w:sz w:val="19"/>
          <w:szCs w:val="19"/>
          <w:color w:val="auto"/>
        </w:rPr>
      </w:pPr>
    </w:p>
    <w:p>
      <w:pPr>
        <w:ind w:left="1300" w:right="2999" w:hanging="644"/>
        <w:spacing w:after="0" w:line="269"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6.7%</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22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04367G103</w:t>
      </w:r>
    </w:p>
    <w:p>
      <w:pPr>
        <w:spacing w:after="0" w:line="23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David A. Witkin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21,469,717</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6"/>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3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21,469,717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Aggregate Amount Beneficially Owned by Each Reporting Person </w:t>
      </w:r>
      <w:r>
        <w:rPr>
          <w:rFonts w:ascii="Times New Roman" w:cs="Times New Roman" w:eastAsia="Times New Roman" w:hAnsi="Times New Roman"/>
          <w:sz w:val="19"/>
          <w:szCs w:val="19"/>
          <w:b w:val="1"/>
          <w:bCs w:val="1"/>
          <w:color w:val="auto"/>
        </w:rPr>
        <w:t>21,469,717</w:t>
      </w:r>
    </w:p>
    <w:p>
      <w:pPr>
        <w:spacing w:after="0" w:line="244" w:lineRule="exact"/>
        <w:rPr>
          <w:rFonts w:ascii="Times New Roman" w:cs="Times New Roman" w:eastAsia="Times New Roman" w:hAnsi="Times New Roman"/>
          <w:sz w:val="19"/>
          <w:szCs w:val="19"/>
          <w:color w:val="auto"/>
        </w:rPr>
      </w:pPr>
    </w:p>
    <w:p>
      <w:pPr>
        <w:ind w:left="1300" w:right="2999"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7.9%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22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04367G103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Asensus Surgical,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 TW Alexander Drive, Suite 160, Durham, NC 27703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Beryl Capital Management LLC (“Beryl”), Beryl Capital Management LP (“Beryl GP”), Beryl Capital Partners II LP (the “Partnership”) and David A. Witkin (collectively, the “Filers”). Each Filer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225 Avenue I, Suite 205, Redondo Beach, CA 90277</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Common Stock, par value $0.001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04367G103</w:t>
      </w: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229" w:right="499" w:bottom="1440" w:gutter="0" w:footer="0" w:header="0"/>
        </w:sectPr>
      </w:pPr>
    </w:p>
    <w:bookmarkStart w:id="6" w:name="page7"/>
    <w:bookmarkEnd w:id="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04367G103</w:t>
      </w:r>
    </w:p>
    <w:p>
      <w:pPr>
        <w:sectPr>
          <w:pgSz w:w="11900" w:h="16892" w:orient="portrait"/>
          <w:cols w:equalWidth="0" w:num="1">
            <w:col w:w="11100"/>
          </w:cols>
          <w:pgMar w:left="320" w:top="229" w:right="479" w:bottom="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0" w:lineRule="exact"/>
        <w:rPr>
          <w:sz w:val="20"/>
          <w:szCs w:val="20"/>
          <w:color w:val="auto"/>
        </w:rPr>
      </w:pPr>
    </w:p>
    <w:p>
      <w:pPr>
        <w:sectPr>
          <w:pgSz w:w="11900" w:h="16892" w:orient="portrait"/>
          <w:cols w:equalWidth="0" w:num="2">
            <w:col w:w="600" w:space="700"/>
            <w:col w:w="9800"/>
          </w:cols>
          <w:pgMar w:left="320" w:top="229" w:right="479" w:bottom="0" w:gutter="0" w:footer="0" w:header="0"/>
          <w:type w:val="continuous"/>
        </w:sectPr>
      </w:pPr>
    </w:p>
    <w:p>
      <w:pPr>
        <w:spacing w:after="0" w:line="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9"/>
          <w:szCs w:val="19"/>
          <w:color w:val="auto"/>
        </w:rPr>
        <w:t>(d)</w:t>
      </w:r>
      <w:r>
        <w:rPr>
          <w:sz w:val="20"/>
          <w:szCs w:val="20"/>
          <w:color w:val="auto"/>
        </w:rPr>
        <w:tab/>
      </w:r>
      <w:r>
        <w:rPr>
          <w:rFonts w:ascii="Times New Roman" w:cs="Times New Roman" w:eastAsia="Times New Roman" w:hAnsi="Times New Roman"/>
          <w:sz w:val="19"/>
          <w:szCs w:val="19"/>
          <w:color w:val="auto"/>
        </w:rPr>
        <w:t>[ ] Investment company registered under section 8 of the Investment Company Act of 1940 (15 U.S.C. 80a-8).</w:t>
      </w:r>
    </w:p>
    <w:p>
      <w:pPr>
        <w:spacing w:after="0" w:line="2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An investment adviser in accordance with section 240.13d-1(b)(1)(ii)(E), as to Beryl and Beryl GP.</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A parent holding company or control person in accordance with 240.13d-1(b)(1)(ii)(G), as to Mr. Witkin.</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9"/>
          <w:szCs w:val="19"/>
          <w:color w:val="auto"/>
        </w:rPr>
        <w:t>(i)</w:t>
      </w:r>
      <w:r>
        <w:rPr>
          <w:sz w:val="20"/>
          <w:szCs w:val="20"/>
          <w:color w:val="auto"/>
        </w:rPr>
        <w:tab/>
      </w:r>
      <w:r>
        <w:rPr>
          <w:rFonts w:ascii="Times New Roman" w:cs="Times New Roman" w:eastAsia="Times New Roman" w:hAnsi="Times New Roman"/>
          <w:sz w:val="19"/>
          <w:szCs w:val="19"/>
          <w:color w:val="auto"/>
        </w:rPr>
        <w:t>[ ] A church plan that is excluded from the definition of an investment company under section 3(c)(14) of the</w:t>
      </w:r>
    </w:p>
    <w:p>
      <w:pPr>
        <w:spacing w:after="0" w:line="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ectPr>
          <w:pgSz w:w="11900" w:h="16892" w:orient="portrait"/>
          <w:cols w:equalWidth="0" w:num="1">
            <w:col w:w="11100"/>
          </w:cols>
          <w:pgMar w:left="320" w:top="229" w:right="479" w:bottom="0" w:gutter="0" w:footer="0" w:header="0"/>
          <w:type w:val="continuous"/>
        </w:sectPr>
      </w:pPr>
    </w:p>
    <w:p>
      <w:pPr>
        <w:spacing w:after="0" w:line="229" w:lineRule="exact"/>
        <w:rPr>
          <w:sz w:val="20"/>
          <w:szCs w:val="20"/>
          <w:color w:val="auto"/>
        </w:rPr>
      </w:pPr>
    </w:p>
    <w:p>
      <w:pPr>
        <w:ind w:left="660" w:right="150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92" w:orient="portrait"/>
          <w:cols w:equalWidth="0" w:num="1">
            <w:col w:w="11100"/>
          </w:cols>
          <w:pgMar w:left="320" w:top="229" w:right="479"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92" w:orient="portrait"/>
          <w:cols w:equalWidth="0" w:num="2">
            <w:col w:w="600" w:space="700"/>
            <w:col w:w="9800"/>
          </w:cols>
          <w:pgMar w:left="320" w:top="229" w:right="479"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9"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272,616,330 shares of Common Stock outstanding as of June 28, 2024, as reported in the Proxy Statement filed by the Issuer on July 5, 2024.</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300" w:right="24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Beryl is the investment adviser to the Funds and other accounts. Beryl is the general partner of Beryl GP, which is the general partner of one or more of the Funds. Mr. Witkin is the control person of Beryl.</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Material to Be Filed as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Joint Filing Agreement.</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Certification of Beryl, Beryl GP and Mr. Witkin.</w:t>
      </w:r>
    </w:p>
    <w:p>
      <w:pPr>
        <w:spacing w:after="0" w:line="233" w:lineRule="exact"/>
        <w:rPr>
          <w:sz w:val="20"/>
          <w:szCs w:val="20"/>
          <w:color w:val="auto"/>
        </w:rPr>
      </w:pPr>
    </w:p>
    <w:p>
      <w:pPr>
        <w:ind w:right="56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Certification of the Partnership.</w:t>
      </w:r>
    </w:p>
    <w:p>
      <w:pPr>
        <w:sectPr>
          <w:pgSz w:w="11900" w:h="16892" w:orient="portrait"/>
          <w:cols w:equalWidth="0" w:num="1">
            <w:col w:w="11100"/>
          </w:cols>
          <w:pgMar w:left="320" w:top="229" w:right="479" w:bottom="0" w:gutter="0" w:footer="0" w:header="0"/>
          <w:type w:val="continuous"/>
        </w:sectPr>
      </w:pPr>
    </w:p>
    <w:bookmarkStart w:id="7" w:name="page8"/>
    <w:bookmarkEnd w:id="7"/>
    <w:p>
      <w:pPr>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320" w:top="118"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04367G103</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July 15, 2024</w:t>
      </w:r>
    </w:p>
    <w:p>
      <w:pPr>
        <w:spacing w:after="0" w:line="225" w:lineRule="exact"/>
        <w:rPr>
          <w:sz w:val="20"/>
          <w:szCs w:val="20"/>
          <w:color w:val="auto"/>
        </w:rPr>
      </w:pPr>
    </w:p>
    <w:p>
      <w:pPr>
        <w:ind w:left="100"/>
        <w:spacing w:after="0"/>
        <w:tabs>
          <w:tab w:leader="none" w:pos="5840" w:val="left"/>
        </w:tabs>
        <w:rPr>
          <w:sz w:val="20"/>
          <w:szCs w:val="20"/>
          <w:color w:val="auto"/>
        </w:rPr>
      </w:pPr>
      <w:r>
        <w:rPr>
          <w:rFonts w:ascii="Times New Roman" w:cs="Times New Roman" w:eastAsia="Times New Roman" w:hAnsi="Times New Roman"/>
          <w:sz w:val="20"/>
          <w:szCs w:val="20"/>
          <w:b w:val="1"/>
          <w:bCs w:val="1"/>
          <w:color w:val="auto"/>
        </w:rPr>
        <w:t>BERYL CAPITAL MANAGEMENT LLC</w:t>
      </w:r>
      <w:r>
        <w:rPr>
          <w:sz w:val="20"/>
          <w:szCs w:val="20"/>
          <w:color w:val="auto"/>
        </w:rPr>
        <w:tab/>
      </w:r>
      <w:r>
        <w:rPr>
          <w:rFonts w:ascii="Times New Roman" w:cs="Times New Roman" w:eastAsia="Times New Roman" w:hAnsi="Times New Roman"/>
          <w:sz w:val="19"/>
          <w:szCs w:val="19"/>
          <w:b w:val="1"/>
          <w:bCs w:val="1"/>
          <w:color w:val="auto"/>
        </w:rPr>
        <w:t>BERYL CAPITAL MANAGEMENT LP</w:t>
      </w:r>
    </w:p>
    <w:p>
      <w:pPr>
        <w:spacing w:after="0" w:line="233" w:lineRule="exact"/>
        <w:rPr>
          <w:sz w:val="20"/>
          <w:szCs w:val="20"/>
          <w:color w:val="auto"/>
        </w:rPr>
      </w:pPr>
    </w:p>
    <w:p>
      <w:pPr>
        <w:ind w:left="5860"/>
        <w:spacing w:after="0"/>
        <w:tabs>
          <w:tab w:leader="none" w:pos="6380" w:val="left"/>
        </w:tabs>
        <w:rPr>
          <w:sz w:val="20"/>
          <w:szCs w:val="20"/>
          <w:color w:val="auto"/>
        </w:rPr>
      </w:pPr>
      <w:r>
        <w:rPr>
          <w:rFonts w:ascii="Times New Roman" w:cs="Times New Roman" w:eastAsia="Times New Roman" w:hAnsi="Times New Roman"/>
          <w:sz w:val="20"/>
          <w:szCs w:val="20"/>
          <w:color w:val="auto"/>
        </w:rPr>
        <w:t>By:</w:t>
        <w:tab/>
        <w:t>Beryl Capital Management LLC</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General Partner</w:t>
      </w:r>
    </w:p>
    <w:p>
      <w:pPr>
        <w:ind w:left="100"/>
        <w:spacing w:after="0"/>
        <w:tabs>
          <w:tab w:leader="none" w:pos="640" w:val="left"/>
        </w:tabs>
        <w:rPr>
          <w:sz w:val="20"/>
          <w:szCs w:val="20"/>
          <w:color w:val="auto"/>
        </w:rPr>
      </w:pPr>
      <w:r>
        <w:rPr>
          <w:rFonts w:ascii="Times New Roman" w:cs="Times New Roman" w:eastAsia="Times New Roman" w:hAnsi="Times New Roman"/>
          <w:sz w:val="20"/>
          <w:szCs w:val="20"/>
          <w:color w:val="auto"/>
        </w:rPr>
        <w:t>By:</w:t>
        <w:tab/>
        <w:t xml:space="preserve">/s/ </w:t>
      </w:r>
      <w:r>
        <w:rPr>
          <w:rFonts w:ascii="Times New Roman" w:cs="Times New Roman" w:eastAsia="Times New Roman" w:hAnsi="Times New Roman"/>
          <w:sz w:val="20"/>
          <w:szCs w:val="20"/>
          <w:i w:val="1"/>
          <w:iCs w:val="1"/>
          <w:color w:val="auto"/>
        </w:rPr>
        <w:t>Andrew Nelson</w:t>
      </w:r>
    </w:p>
    <w:p>
      <w:pPr>
        <w:sectPr>
          <w:pgSz w:w="11900" w:h="16838" w:orient="portrait"/>
          <w:cols w:equalWidth="0" w:num="1">
            <w:col w:w="11180"/>
          </w:cols>
          <w:pgMar w:left="320" w:top="229" w:right="399" w:bottom="1440" w:gutter="0" w:footer="0" w:header="0"/>
        </w:sectPr>
      </w:pPr>
    </w:p>
    <w:p>
      <w:pPr>
        <w:ind w:left="660"/>
        <w:spacing w:after="0"/>
        <w:rPr>
          <w:sz w:val="20"/>
          <w:szCs w:val="20"/>
          <w:color w:val="auto"/>
        </w:rPr>
      </w:pPr>
      <w:r>
        <w:rPr>
          <w:rFonts w:ascii="Times New Roman" w:cs="Times New Roman" w:eastAsia="Times New Roman" w:hAnsi="Times New Roman"/>
          <w:sz w:val="20"/>
          <w:szCs w:val="20"/>
          <w:color w:val="auto"/>
        </w:rPr>
        <w:t>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-144780</wp:posOffset>
            </wp:positionV>
            <wp:extent cx="3137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9"/>
          <w:szCs w:val="19"/>
          <w:color w:val="auto"/>
        </w:rPr>
        <w:t>Chief Operating Officer and CFO</w:t>
      </w: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BERYL CAPITAL PARTNERS II 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Beryl Capital Management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Partner</w:t>
      </w:r>
    </w:p>
    <w:p>
      <w:pPr>
        <w:spacing w:after="0" w:line="221" w:lineRule="exact"/>
        <w:rPr>
          <w:sz w:val="20"/>
          <w:szCs w:val="20"/>
          <w:color w:val="auto"/>
        </w:rPr>
      </w:pPr>
    </w:p>
    <w:p>
      <w:pPr>
        <w:ind w:left="100" w:right="1860"/>
        <w:spacing w:after="0" w:line="269" w:lineRule="auto"/>
        <w:rPr>
          <w:sz w:val="20"/>
          <w:szCs w:val="20"/>
          <w:color w:val="auto"/>
        </w:rPr>
      </w:pPr>
      <w:r>
        <w:rPr>
          <w:rFonts w:ascii="Times New Roman" w:cs="Times New Roman" w:eastAsia="Times New Roman" w:hAnsi="Times New Roman"/>
          <w:sz w:val="20"/>
          <w:szCs w:val="20"/>
          <w:color w:val="auto"/>
        </w:rPr>
        <w:t>By: Beryl Capital Management LLC General Partner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Andrew Nelson</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Andrew Nelson</w:t>
      </w:r>
    </w:p>
    <w:p>
      <w:pPr>
        <w:ind w:left="660"/>
        <w:spacing w:after="0"/>
        <w:rPr>
          <w:sz w:val="20"/>
          <w:szCs w:val="20"/>
          <w:color w:val="auto"/>
        </w:rPr>
      </w:pPr>
      <w:r>
        <w:rPr>
          <w:rFonts w:ascii="Times New Roman" w:cs="Times New Roman" w:eastAsia="Times New Roman" w:hAnsi="Times New Roman"/>
          <w:sz w:val="20"/>
          <w:szCs w:val="20"/>
          <w:color w:val="auto"/>
        </w:rPr>
        <w:t>Chief Operating Officer</w:t>
      </w:r>
    </w:p>
    <w:p>
      <w:pPr>
        <w:spacing w:after="0" w:line="20" w:lineRule="exact"/>
        <w:rPr>
          <w:sz w:val="20"/>
          <w:szCs w:val="20"/>
          <w:color w:val="auto"/>
        </w:rPr>
      </w:pPr>
      <w:r>
        <w:rPr>
          <w:sz w:val="20"/>
          <w:szCs w:val="20"/>
          <w:color w:val="auto"/>
        </w:rPr>
        <w:br w:type="column"/>
      </w:r>
    </w:p>
    <w:p>
      <w:pPr>
        <w:ind w:left="820"/>
        <w:spacing w:after="0"/>
        <w:tabs>
          <w:tab w:leader="none" w:pos="1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Andrew Nelson</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-140335</wp:posOffset>
            </wp:positionV>
            <wp:extent cx="2708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jc w:val="right"/>
        <w:ind w:right="1440"/>
        <w:spacing w:after="0"/>
        <w:rPr>
          <w:sz w:val="20"/>
          <w:szCs w:val="20"/>
          <w:color w:val="auto"/>
        </w:rPr>
      </w:pPr>
      <w:r>
        <w:rPr>
          <w:rFonts w:ascii="Times New Roman" w:cs="Times New Roman" w:eastAsia="Times New Roman" w:hAnsi="Times New Roman"/>
          <w:sz w:val="20"/>
          <w:szCs w:val="20"/>
          <w:color w:val="auto"/>
        </w:rPr>
        <w:t>Chief Operating Officer and CFO</w:t>
      </w:r>
    </w:p>
    <w:p>
      <w:pPr>
        <w:spacing w:after="0" w:line="200" w:lineRule="exact"/>
        <w:rPr>
          <w:sz w:val="20"/>
          <w:szCs w:val="20"/>
          <w:color w:val="auto"/>
        </w:rPr>
      </w:pPr>
    </w:p>
    <w:p>
      <w:pPr>
        <w:spacing w:after="0" w:line="2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David A. Witkin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16510</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David A. Witkin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4860" w:space="720"/>
            <w:col w:w="5600"/>
          </w:cols>
          <w:pgMar w:left="320" w:top="229" w:right="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04367G103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Beryl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Dated: July 15, 2024</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LLC</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LP</w:t>
            </w:r>
          </w:p>
        </w:tc>
        <w:tc>
          <w:tcPr>
            <w:tcW w:w="0" w:type="dxa"/>
            <w:vAlign w:val="bottom"/>
          </w:tcPr>
          <w:p>
            <w:pPr>
              <w:spacing w:after="0"/>
              <w:rPr>
                <w:sz w:val="1"/>
                <w:szCs w:val="1"/>
                <w:color w:val="auto"/>
              </w:rPr>
            </w:pPr>
          </w:p>
        </w:tc>
      </w:tr>
      <w:tr>
        <w:trPr>
          <w:trHeight w:val="430"/>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Andrew Nelson</w:t>
            </w:r>
          </w:p>
        </w:tc>
        <w:tc>
          <w:tcPr>
            <w:tcW w:w="548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General Partner</w:t>
            </w:r>
          </w:p>
        </w:tc>
        <w:tc>
          <w:tcPr>
            <w:tcW w:w="0" w:type="dxa"/>
            <w:vAlign w:val="bottom"/>
          </w:tcPr>
          <w:p>
            <w:pPr>
              <w:spacing w:after="0"/>
              <w:rPr>
                <w:sz w:val="1"/>
                <w:szCs w:val="1"/>
                <w:color w:val="auto"/>
              </w:rPr>
            </w:pPr>
          </w:p>
        </w:tc>
      </w:tr>
      <w:tr>
        <w:trPr>
          <w:trHeight w:val="223"/>
        </w:trPr>
        <w:tc>
          <w:tcPr>
            <w:tcW w:w="5760" w:type="dxa"/>
            <w:vAlign w:val="bottom"/>
            <w:gridSpan w:val="5"/>
            <w:vMerge w:val="continue"/>
          </w:tcPr>
          <w:p>
            <w:pPr>
              <w:spacing w:after="0"/>
              <w:rPr>
                <w:sz w:val="19"/>
                <w:szCs w:val="19"/>
                <w:color w:val="auto"/>
              </w:rPr>
            </w:pPr>
          </w:p>
        </w:tc>
        <w:tc>
          <w:tcPr>
            <w:tcW w:w="548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 xml:space="preserve">By:/s/ </w:t>
            </w:r>
            <w:r>
              <w:rPr>
                <w:rFonts w:ascii="Times New Roman" w:cs="Times New Roman" w:eastAsia="Times New Roman" w:hAnsi="Times New Roman"/>
                <w:sz w:val="20"/>
                <w:szCs w:val="20"/>
                <w:i w:val="1"/>
                <w:iCs w:val="1"/>
                <w:color w:val="auto"/>
                <w:w w:val="98"/>
              </w:rPr>
              <w:t>Andrew Nelson</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4940" w:type="dxa"/>
            <w:vAlign w:val="bottom"/>
            <w:tcBorders>
              <w:top w:val="single" w:sz="8" w:color="auto"/>
            </w:tcBorders>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260" w:type="dxa"/>
            <w:vAlign w:val="bottom"/>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line="20" w:lineRule="exact"/>
              <w:rPr>
                <w:sz w:val="1"/>
                <w:szCs w:val="1"/>
                <w:color w:val="auto"/>
              </w:rPr>
            </w:pPr>
          </w:p>
        </w:tc>
        <w:tc>
          <w:tcPr>
            <w:tcW w:w="5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12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200" w:type="dxa"/>
            <w:vAlign w:val="bottom"/>
            <w:gridSpan w:val="4"/>
            <w:vMerge w:val="continue"/>
          </w:tcPr>
          <w:p>
            <w:pPr>
              <w:spacing w:after="0"/>
              <w:rPr>
                <w:sz w:val="17"/>
                <w:szCs w:val="17"/>
                <w:color w:val="auto"/>
              </w:rPr>
            </w:pPr>
          </w:p>
        </w:tc>
        <w:tc>
          <w:tcPr>
            <w:tcW w:w="1220" w:type="dxa"/>
            <w:vAlign w:val="bottom"/>
          </w:tcPr>
          <w:p>
            <w:pPr>
              <w:spacing w:after="0"/>
              <w:rPr>
                <w:sz w:val="17"/>
                <w:szCs w:val="17"/>
                <w:color w:val="auto"/>
              </w:rPr>
            </w:pPr>
          </w:p>
        </w:tc>
        <w:tc>
          <w:tcPr>
            <w:tcW w:w="42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0" w:type="dxa"/>
            <w:vAlign w:val="bottom"/>
          </w:tcPr>
          <w:p>
            <w:pPr>
              <w:spacing w:after="0"/>
              <w:rPr>
                <w:sz w:val="1"/>
                <w:szCs w:val="1"/>
                <w:color w:val="auto"/>
              </w:rPr>
            </w:pPr>
          </w:p>
        </w:tc>
      </w:tr>
      <w:tr>
        <w:trPr>
          <w:trHeight w:val="258"/>
        </w:trPr>
        <w:tc>
          <w:tcPr>
            <w:tcW w:w="5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PARTNERS II LP</w:t>
            </w:r>
          </w:p>
        </w:tc>
        <w:tc>
          <w:tcPr>
            <w:tcW w:w="1220" w:type="dxa"/>
            <w:vAlign w:val="bottom"/>
          </w:tcPr>
          <w:p>
            <w:pPr>
              <w:spacing w:after="0"/>
              <w:rPr>
                <w:sz w:val="22"/>
                <w:szCs w:val="22"/>
                <w:color w:val="auto"/>
              </w:rPr>
            </w:pPr>
          </w:p>
        </w:tc>
        <w:tc>
          <w:tcPr>
            <w:tcW w:w="42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0" w:type="dxa"/>
            <w:vAlign w:val="bottom"/>
          </w:tcPr>
          <w:p>
            <w:pPr>
              <w:spacing w:after="0"/>
              <w:rPr>
                <w:sz w:val="1"/>
                <w:szCs w:val="1"/>
                <w:color w:val="auto"/>
              </w:rPr>
            </w:pPr>
          </w:p>
        </w:tc>
      </w:tr>
      <w:tr>
        <w:trPr>
          <w:trHeight w:val="230"/>
        </w:trPr>
        <w:tc>
          <w:tcPr>
            <w:tcW w:w="5760" w:type="dxa"/>
            <w:vAlign w:val="bottom"/>
            <w:gridSpan w:val="5"/>
            <w:vMerge w:val="continue"/>
          </w:tcPr>
          <w:p>
            <w:pPr>
              <w:spacing w:after="0"/>
              <w:rPr>
                <w:sz w:val="19"/>
                <w:szCs w:val="19"/>
                <w:color w:val="auto"/>
              </w:rPr>
            </w:pPr>
          </w:p>
        </w:tc>
        <w:tc>
          <w:tcPr>
            <w:tcW w:w="1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Beryl Capital Management LP</w:t>
            </w:r>
          </w:p>
        </w:tc>
        <w:tc>
          <w:tcPr>
            <w:tcW w:w="1220" w:type="dxa"/>
            <w:vAlign w:val="bottom"/>
          </w:tcPr>
          <w:p>
            <w:pPr>
              <w:spacing w:after="0"/>
              <w:rPr>
                <w:sz w:val="24"/>
                <w:szCs w:val="24"/>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color w:val="auto"/>
                <w:w w:val="97"/>
              </w:rPr>
              <w:t xml:space="preserve">/s/ </w:t>
            </w:r>
            <w:r>
              <w:rPr>
                <w:rFonts w:ascii="Times New Roman" w:cs="Times New Roman" w:eastAsia="Times New Roman" w:hAnsi="Times New Roman"/>
                <w:sz w:val="20"/>
                <w:szCs w:val="20"/>
                <w:i w:val="1"/>
                <w:iCs w:val="1"/>
                <w:color w:val="auto"/>
                <w:w w:val="97"/>
              </w:rPr>
              <w:t>David A. Witkin</w:t>
            </w:r>
          </w:p>
        </w:tc>
        <w:tc>
          <w:tcPr>
            <w:tcW w:w="0" w:type="dxa"/>
            <w:vAlign w:val="bottom"/>
          </w:tcPr>
          <w:p>
            <w:pPr>
              <w:spacing w:after="0"/>
              <w:rPr>
                <w:sz w:val="1"/>
                <w:szCs w:val="1"/>
                <w:color w:val="auto"/>
              </w:rPr>
            </w:pPr>
          </w:p>
        </w:tc>
      </w:tr>
      <w:tr>
        <w:trPr>
          <w:trHeight w:val="23"/>
        </w:trPr>
        <w:tc>
          <w:tcPr>
            <w:tcW w:w="57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760" w:type="dxa"/>
            <w:vAlign w:val="bottom"/>
            <w:gridSpan w:val="5"/>
            <w:vMerge w:val="continue"/>
          </w:tcPr>
          <w:p>
            <w:pPr>
              <w:spacing w:after="0"/>
              <w:rPr>
                <w:sz w:val="22"/>
                <w:szCs w:val="22"/>
                <w:color w:val="auto"/>
              </w:rPr>
            </w:pPr>
          </w:p>
        </w:tc>
        <w:tc>
          <w:tcPr>
            <w:tcW w:w="1220" w:type="dxa"/>
            <w:vAlign w:val="bottom"/>
          </w:tcPr>
          <w:p>
            <w:pPr>
              <w:spacing w:after="0"/>
              <w:rPr>
                <w:sz w:val="22"/>
                <w:szCs w:val="22"/>
                <w:color w:val="auto"/>
              </w:rPr>
            </w:pPr>
          </w:p>
        </w:tc>
        <w:tc>
          <w:tcPr>
            <w:tcW w:w="4260" w:type="dxa"/>
            <w:vAlign w:val="bottom"/>
          </w:tcPr>
          <w:p>
            <w:pPr>
              <w:jc w:val="center"/>
              <w:ind w:right="1121"/>
              <w:spacing w:after="0"/>
              <w:rPr>
                <w:sz w:val="20"/>
                <w:szCs w:val="20"/>
                <w:color w:val="auto"/>
              </w:rPr>
            </w:pPr>
            <w:r>
              <w:rPr>
                <w:rFonts w:ascii="Times New Roman" w:cs="Times New Roman" w:eastAsia="Times New Roman" w:hAnsi="Times New Roman"/>
                <w:sz w:val="20"/>
                <w:szCs w:val="20"/>
                <w:b w:val="1"/>
                <w:bCs w:val="1"/>
                <w:color w:val="auto"/>
                <w:w w:val="99"/>
              </w:rPr>
              <w:t>David A. Witkin</w:t>
            </w:r>
          </w:p>
        </w:tc>
        <w:tc>
          <w:tcPr>
            <w:tcW w:w="0" w:type="dxa"/>
            <w:vAlign w:val="bottom"/>
          </w:tcPr>
          <w:p>
            <w:pPr>
              <w:spacing w:after="0"/>
              <w:rPr>
                <w:sz w:val="1"/>
                <w:szCs w:val="1"/>
                <w:color w:val="auto"/>
              </w:rPr>
            </w:pPr>
          </w:p>
        </w:tc>
      </w:tr>
      <w:tr>
        <w:trPr>
          <w:trHeight w:val="403"/>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60" w:type="dxa"/>
            <w:vAlign w:val="bottom"/>
          </w:tcPr>
          <w:p>
            <w:pPr>
              <w:spacing w:after="0"/>
              <w:rPr>
                <w:sz w:val="24"/>
                <w:szCs w:val="24"/>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Andrew Nelson</w:t>
            </w: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0" w:type="dxa"/>
            <w:vAlign w:val="bottom"/>
          </w:tcPr>
          <w:p>
            <w:pPr>
              <w:spacing w:after="0"/>
              <w:rPr>
                <w:sz w:val="19"/>
                <w:szCs w:val="19"/>
                <w:color w:val="auto"/>
              </w:rPr>
            </w:pPr>
          </w:p>
        </w:tc>
        <w:tc>
          <w:tcPr>
            <w:tcW w:w="5200" w:type="dxa"/>
            <w:vAlign w:val="bottom"/>
            <w:gridSpan w:val="4"/>
          </w:tcPr>
          <w:p>
            <w:pPr>
              <w:ind w:left="100"/>
              <w:spacing w:after="0" w:line="228" w:lineRule="exact"/>
              <w:rPr>
                <w:sz w:val="20"/>
                <w:szCs w:val="20"/>
                <w:color w:val="auto"/>
              </w:rPr>
            </w:pPr>
            <w:r>
              <w:rPr>
                <w:rFonts w:ascii="Times New Roman" w:cs="Times New Roman" w:eastAsia="Times New Roman" w:hAnsi="Times New Roman"/>
                <w:sz w:val="20"/>
                <w:szCs w:val="20"/>
                <w:color w:val="auto"/>
              </w:rPr>
              <w:t>Andrew Nelson</w:t>
            </w:r>
          </w:p>
        </w:tc>
        <w:tc>
          <w:tcPr>
            <w:tcW w:w="12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5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1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2024-07-15T16:35:06Z</dcterms:created>
  <dcterms:modified xsi:type="dcterms:W3CDTF">2024-07-15T16:35:06Z</dcterms:modified>
</cp:coreProperties>
</file>