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1" w:lineRule="exact"/>
        <w:rPr>
          <w:sz w:val="24"/>
          <w:szCs w:val="24"/>
          <w:color w:val="auto"/>
        </w:rPr>
      </w:pPr>
    </w:p>
    <w:p>
      <w:pPr>
        <w:ind w:left="5160"/>
        <w:spacing w:after="0"/>
        <w:rPr>
          <w:sz w:val="20"/>
          <w:szCs w:val="20"/>
          <w:color w:val="auto"/>
        </w:rPr>
      </w:pPr>
      <w:r>
        <w:rPr>
          <w:rFonts w:ascii="Times New Roman" w:cs="Times New Roman" w:eastAsia="Times New Roman" w:hAnsi="Times New Roman"/>
          <w:sz w:val="22"/>
          <w:szCs w:val="22"/>
          <w:b w:val="1"/>
          <w:bCs w:val="1"/>
          <w:color w:val="auto"/>
        </w:rPr>
        <w:t>FORM 15</w:t>
      </w:r>
    </w:p>
    <w:p>
      <w:pPr>
        <w:spacing w:after="0" w:line="206" w:lineRule="exact"/>
        <w:rPr>
          <w:sz w:val="24"/>
          <w:szCs w:val="24"/>
          <w:color w:val="auto"/>
        </w:rPr>
      </w:pPr>
    </w:p>
    <w:p>
      <w:pPr>
        <w:jc w:val="center"/>
        <w:spacing w:after="0" w:line="241" w:lineRule="auto"/>
        <w:rPr>
          <w:sz w:val="20"/>
          <w:szCs w:val="20"/>
          <w:color w:val="auto"/>
        </w:rPr>
      </w:pPr>
      <w:r>
        <w:rPr>
          <w:rFonts w:ascii="Times New Roman" w:cs="Times New Roman" w:eastAsia="Times New Roman" w:hAnsi="Times New Roman"/>
          <w:sz w:val="22"/>
          <w:szCs w:val="22"/>
          <w:b w:val="1"/>
          <w:bCs w:val="1"/>
          <w:color w:val="auto"/>
        </w:rPr>
        <w:t>CERTIFICATION AND NOTICE OF TERMINATION OF REGISTRATION UNDER SECTION 12(g) OF THE SECURITIES EXCHANGE ACT OF 1934 OR SUSPENSION OF DUTY TO FILE REPORTS UNDER SECTIONS 13 AND 15(d) OF THE SECURITIES EXCHANGE ACT OF 1934</w:t>
      </w:r>
    </w:p>
    <w:p>
      <w:pPr>
        <w:spacing w:after="0" w:line="1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Commission File Number: 000-19437</w:t>
      </w: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Asensus Surgical, Inc.</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1 TW Alexander Drive, Suite 160, Durham, NC 27703</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(919) 765-8400</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Common Stock, $0.001 par value per share</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(Title of each class of securities covered by this Form)</w:t>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None</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(Titles of all other classes of securities for which a duty to file reports under</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13(a) or 15(d) remains)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Please place an X in the box(es) to designate the appropriate rule provision(s) relied upon to terminate or suspend the duty to file reports:</w:t>
      </w:r>
    </w:p>
    <w:p>
      <w:pPr>
        <w:spacing w:after="0" w:line="184"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6440" w:type="dxa"/>
            <w:vAlign w:val="bottom"/>
          </w:tcPr>
          <w:p>
            <w:pPr>
              <w:ind w:left="3940"/>
              <w:spacing w:after="0"/>
              <w:rPr>
                <w:sz w:val="20"/>
                <w:szCs w:val="20"/>
                <w:color w:val="auto"/>
              </w:rPr>
            </w:pPr>
            <w:r>
              <w:rPr>
                <w:rFonts w:ascii="Times New Roman" w:cs="Times New Roman" w:eastAsia="Times New Roman" w:hAnsi="Times New Roman"/>
                <w:sz w:val="18"/>
                <w:szCs w:val="18"/>
                <w:color w:val="auto"/>
              </w:rPr>
              <w:t>Rule 12g-4(a)(1)</w:t>
            </w:r>
          </w:p>
        </w:tc>
        <w:tc>
          <w:tcPr>
            <w:tcW w:w="48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r>
      <w:tr>
        <w:trPr>
          <w:trHeight w:val="216"/>
        </w:trPr>
        <w:tc>
          <w:tcPr>
            <w:tcW w:w="6440" w:type="dxa"/>
            <w:vAlign w:val="bottom"/>
          </w:tcPr>
          <w:p>
            <w:pPr>
              <w:ind w:left="3940"/>
              <w:spacing w:after="0"/>
              <w:rPr>
                <w:sz w:val="20"/>
                <w:szCs w:val="20"/>
                <w:color w:val="auto"/>
              </w:rPr>
            </w:pPr>
            <w:r>
              <w:rPr>
                <w:rFonts w:ascii="Times New Roman" w:cs="Times New Roman" w:eastAsia="Times New Roman" w:hAnsi="Times New Roman"/>
                <w:sz w:val="18"/>
                <w:szCs w:val="18"/>
                <w:color w:val="auto"/>
              </w:rPr>
              <w:t>Rule 12g-4(a)(2)</w:t>
            </w:r>
          </w:p>
        </w:tc>
        <w:tc>
          <w:tcPr>
            <w:tcW w:w="48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r>
      <w:tr>
        <w:trPr>
          <w:trHeight w:val="216"/>
        </w:trPr>
        <w:tc>
          <w:tcPr>
            <w:tcW w:w="6440" w:type="dxa"/>
            <w:vAlign w:val="bottom"/>
          </w:tcPr>
          <w:p>
            <w:pPr>
              <w:ind w:left="3940"/>
              <w:spacing w:after="0"/>
              <w:rPr>
                <w:sz w:val="20"/>
                <w:szCs w:val="20"/>
                <w:color w:val="auto"/>
              </w:rPr>
            </w:pPr>
            <w:r>
              <w:rPr>
                <w:rFonts w:ascii="Times New Roman" w:cs="Times New Roman" w:eastAsia="Times New Roman" w:hAnsi="Times New Roman"/>
                <w:sz w:val="18"/>
                <w:szCs w:val="18"/>
                <w:color w:val="auto"/>
              </w:rPr>
              <w:t>Rule 12h-3(b)(1)(i)</w:t>
            </w:r>
          </w:p>
        </w:tc>
        <w:tc>
          <w:tcPr>
            <w:tcW w:w="48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r>
      <w:tr>
        <w:trPr>
          <w:trHeight w:val="216"/>
        </w:trPr>
        <w:tc>
          <w:tcPr>
            <w:tcW w:w="6440" w:type="dxa"/>
            <w:vAlign w:val="bottom"/>
          </w:tcPr>
          <w:p>
            <w:pPr>
              <w:ind w:left="3940"/>
              <w:spacing w:after="0"/>
              <w:rPr>
                <w:sz w:val="20"/>
                <w:szCs w:val="20"/>
                <w:color w:val="auto"/>
              </w:rPr>
            </w:pPr>
            <w:r>
              <w:rPr>
                <w:rFonts w:ascii="Times New Roman" w:cs="Times New Roman" w:eastAsia="Times New Roman" w:hAnsi="Times New Roman"/>
                <w:sz w:val="18"/>
                <w:szCs w:val="18"/>
                <w:color w:val="auto"/>
              </w:rPr>
              <w:t>Rule 12h-3(b)(1)(ii)</w:t>
            </w:r>
          </w:p>
        </w:tc>
        <w:tc>
          <w:tcPr>
            <w:tcW w:w="48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r>
      <w:tr>
        <w:trPr>
          <w:trHeight w:val="216"/>
        </w:trPr>
        <w:tc>
          <w:tcPr>
            <w:tcW w:w="6440" w:type="dxa"/>
            <w:vAlign w:val="bottom"/>
          </w:tcPr>
          <w:p>
            <w:pPr>
              <w:ind w:left="3940"/>
              <w:spacing w:after="0"/>
              <w:rPr>
                <w:sz w:val="20"/>
                <w:szCs w:val="20"/>
                <w:color w:val="auto"/>
              </w:rPr>
            </w:pPr>
            <w:r>
              <w:rPr>
                <w:rFonts w:ascii="Times New Roman" w:cs="Times New Roman" w:eastAsia="Times New Roman" w:hAnsi="Times New Roman"/>
                <w:sz w:val="18"/>
                <w:szCs w:val="18"/>
                <w:color w:val="auto"/>
              </w:rPr>
              <w:t>Rule 15d-6</w:t>
            </w:r>
          </w:p>
        </w:tc>
        <w:tc>
          <w:tcPr>
            <w:tcW w:w="48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r>
      <w:tr>
        <w:trPr>
          <w:trHeight w:val="303"/>
        </w:trPr>
        <w:tc>
          <w:tcPr>
            <w:tcW w:w="6440" w:type="dxa"/>
            <w:vAlign w:val="bottom"/>
          </w:tcPr>
          <w:p>
            <w:pPr>
              <w:ind w:left="3940"/>
              <w:spacing w:after="0"/>
              <w:rPr>
                <w:sz w:val="20"/>
                <w:szCs w:val="20"/>
                <w:color w:val="auto"/>
              </w:rPr>
            </w:pPr>
            <w:r>
              <w:rPr>
                <w:rFonts w:ascii="Times New Roman" w:cs="Times New Roman" w:eastAsia="Times New Roman" w:hAnsi="Times New Roman"/>
                <w:sz w:val="18"/>
                <w:szCs w:val="18"/>
                <w:color w:val="auto"/>
              </w:rPr>
              <w:t>Rule 15d-22(b)</w:t>
            </w:r>
          </w:p>
        </w:tc>
        <w:tc>
          <w:tcPr>
            <w:tcW w:w="48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r>
      <w:tr>
        <w:trPr>
          <w:trHeight w:val="399"/>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Approximate number of holders of record as of the certification or notice date: One</w:t>
            </w:r>
          </w:p>
        </w:tc>
        <w:tc>
          <w:tcPr>
            <w:tcW w:w="4800" w:type="dxa"/>
            <w:vAlign w:val="bottom"/>
          </w:tcPr>
          <w:p>
            <w:pPr>
              <w:spacing w:after="0"/>
              <w:rPr>
                <w:sz w:val="24"/>
                <w:szCs w:val="24"/>
                <w:color w:val="auto"/>
              </w:rPr>
            </w:pPr>
          </w:p>
        </w:tc>
      </w:tr>
      <w:tr>
        <w:trPr>
          <w:trHeight w:val="270"/>
        </w:trPr>
        <w:tc>
          <w:tcPr>
            <w:tcW w:w="6440" w:type="dxa"/>
            <w:vAlign w:val="bottom"/>
            <w:tcBorders>
              <w:bottom w:val="single" w:sz="8" w:color="auto"/>
            </w:tcBorders>
          </w:tcPr>
          <w:p>
            <w:pPr>
              <w:spacing w:after="0"/>
              <w:rPr>
                <w:sz w:val="23"/>
                <w:szCs w:val="23"/>
                <w:color w:val="auto"/>
              </w:rPr>
            </w:pPr>
          </w:p>
        </w:tc>
        <w:tc>
          <w:tcPr>
            <w:tcW w:w="4800" w:type="dxa"/>
            <w:vAlign w:val="bottom"/>
            <w:tcBorders>
              <w:bottom w:val="single" w:sz="8" w:color="auto"/>
            </w:tcBorders>
          </w:tcPr>
          <w:p>
            <w:pPr>
              <w:spacing w:after="0"/>
              <w:rPr>
                <w:sz w:val="23"/>
                <w:szCs w:val="23"/>
                <w:color w:val="auto"/>
              </w:rPr>
            </w:pPr>
          </w:p>
        </w:tc>
      </w:tr>
      <w:tr>
        <w:trPr>
          <w:trHeight w:val="68"/>
        </w:trPr>
        <w:tc>
          <w:tcPr>
            <w:tcW w:w="6440" w:type="dxa"/>
            <w:vAlign w:val="bottom"/>
            <w:tcBorders>
              <w:bottom w:val="single" w:sz="8" w:color="auto"/>
            </w:tcBorders>
          </w:tcPr>
          <w:p>
            <w:pPr>
              <w:spacing w:after="0"/>
              <w:rPr>
                <w:sz w:val="5"/>
                <w:szCs w:val="5"/>
                <w:color w:val="auto"/>
              </w:rPr>
            </w:pPr>
          </w:p>
        </w:tc>
        <w:tc>
          <w:tcPr>
            <w:tcW w:w="4800" w:type="dxa"/>
            <w:vAlign w:val="bottom"/>
            <w:tcBorders>
              <w:bottom w:val="single" w:sz="8" w:color="auto"/>
            </w:tcBorders>
          </w:tcPr>
          <w:p>
            <w:pPr>
              <w:spacing w:after="0"/>
              <w:rPr>
                <w:sz w:val="5"/>
                <w:szCs w:val="5"/>
                <w:color w:val="auto"/>
              </w:rPr>
            </w:pPr>
          </w:p>
        </w:tc>
      </w:tr>
      <w:tr>
        <w:trPr>
          <w:trHeight w:val="628"/>
        </w:trPr>
        <w:tc>
          <w:tcPr>
            <w:tcW w:w="644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1" w:right="339" w:bottom="1440" w:gutter="0" w:footer="0" w:header="0"/>
        </w:sectPr>
      </w:pPr>
    </w:p>
    <w:bookmarkStart w:id="1" w:name="page2"/>
    <w:bookmarkEnd w:id="1"/>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On August 22, 2024, pursuant to an Agreement and Plan of Merger, dated June 6, 2024, by and among Asensus Surgical, Inc., a Delaware Corporation (the “Company”), KARL STORZ Endoscopy-America, Inc., a California corporation (“Parent”), and Karl Storz California Inc., a California corporation and a wholly owned subsidiary of Parent (“Merger Sub”), Merger Sub merged with and into the Company (the “Merger”) with the Company surviving the Merger as the surviving corporation and as a wholly owned subsidiary of 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576" w:right="559" w:bottom="1440" w:gutter="0" w:footer="0" w:header="0"/>
        </w:sectPr>
      </w:pPr>
    </w:p>
    <w:bookmarkStart w:id="2" w:name="page3"/>
    <w:bookmarkEnd w:id="2"/>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Asensus Surgical, Inc. has caused this certification/notice to be signed on its behalf by the undersigned duly authorized person.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Asensus Surgical,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By:/s/ Shameze Rampertab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17145</wp:posOffset>
            </wp:positionV>
            <wp:extent cx="23228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Shameze Rampertab</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Authorized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September 3, 2024</w:t>
      </w:r>
    </w:p>
    <w:sectPr>
      <w:pgSz w:w="11900" w:h="16838" w:orient="portrait"/>
      <w:cols w:equalWidth="0" w:num="1">
        <w:col w:w="11180"/>
      </w:cols>
      <w:pgMar w:left="320" w:top="580"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2024-09-03T06:52:24Z</dcterms:created>
  <dcterms:modified xsi:type="dcterms:W3CDTF">2024-09-03T06:52:24Z</dcterms:modified>
</cp:coreProperties>
</file>