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 C H E D U L E 13D</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CELLULAR TECHNICAL SERVICES, CO.,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$0.001 PAR VALUE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151167103</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Copy to:</w:t>
      </w:r>
    </w:p>
    <w:p>
      <w:pPr>
        <w:sectPr>
          <w:pgSz w:w="11900" w:h="16838" w:orient="portrait"/>
          <w:cols w:equalWidth="0" w:num="1">
            <w:col w:w="10219"/>
          </w:cols>
          <w:pgMar w:left="240" w:top="447" w:right="1440" w:bottom="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Harvey Sandler</w:t>
      </w:r>
    </w:p>
    <w:p>
      <w:pPr>
        <w:spacing w:after="0" w:line="238" w:lineRule="auto"/>
        <w:rPr>
          <w:sz w:val="20"/>
          <w:szCs w:val="20"/>
          <w:color w:val="auto"/>
        </w:rPr>
      </w:pPr>
      <w:r>
        <w:rPr>
          <w:rFonts w:ascii="Courier New" w:cs="Courier New" w:eastAsia="Courier New" w:hAnsi="Courier New"/>
          <w:sz w:val="18"/>
          <w:szCs w:val="18"/>
          <w:color w:val="auto"/>
        </w:rPr>
        <w:t>1050 Lee Wagener Blvd.</w:t>
      </w:r>
    </w:p>
    <w:p>
      <w:pPr>
        <w:spacing w:after="0"/>
        <w:rPr>
          <w:sz w:val="20"/>
          <w:szCs w:val="20"/>
          <w:color w:val="auto"/>
        </w:rPr>
      </w:pPr>
      <w:r>
        <w:rPr>
          <w:rFonts w:ascii="Courier New" w:cs="Courier New" w:eastAsia="Courier New" w:hAnsi="Courier New"/>
          <w:sz w:val="18"/>
          <w:szCs w:val="18"/>
          <w:color w:val="auto"/>
        </w:rPr>
        <w:t>Suite 301</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Fort Lauderdale, Florida 33315</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Telephone (954)359-0095</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Morrison Cohen Singer &amp; Weinstein, LLP</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750 Lexington Avenue</w:t>
      </w:r>
    </w:p>
    <w:p>
      <w:pPr>
        <w:spacing w:after="0" w:line="238" w:lineRule="auto"/>
        <w:rPr>
          <w:sz w:val="20"/>
          <w:szCs w:val="20"/>
          <w:color w:val="auto"/>
        </w:rPr>
      </w:pPr>
      <w:r>
        <w:rPr>
          <w:rFonts w:ascii="Courier New" w:cs="Courier New" w:eastAsia="Courier New" w:hAnsi="Courier New"/>
          <w:sz w:val="18"/>
          <w:szCs w:val="18"/>
          <w:color w:val="auto"/>
        </w:rPr>
        <w:t>New York, New York 10022</w:t>
      </w:r>
    </w:p>
    <w:p>
      <w:pPr>
        <w:spacing w:after="0"/>
        <w:rPr>
          <w:sz w:val="20"/>
          <w:szCs w:val="20"/>
          <w:color w:val="auto"/>
        </w:rPr>
      </w:pPr>
      <w:r>
        <w:rPr>
          <w:rFonts w:ascii="Courier New" w:cs="Courier New" w:eastAsia="Courier New" w:hAnsi="Courier New"/>
          <w:sz w:val="18"/>
          <w:szCs w:val="18"/>
          <w:color w:val="auto"/>
        </w:rPr>
        <w:t>Telephone (212) 735-8600</w:t>
      </w:r>
    </w:p>
    <w:p>
      <w:pPr>
        <w:spacing w:after="0" w:line="401" w:lineRule="exact"/>
        <w:rPr>
          <w:sz w:val="24"/>
          <w:szCs w:val="24"/>
          <w:color w:val="auto"/>
        </w:rPr>
      </w:pPr>
    </w:p>
    <w:p>
      <w:pPr>
        <w:sectPr>
          <w:pgSz w:w="11900" w:h="16838" w:orient="portrait"/>
          <w:cols w:equalWidth="0" w:num="2">
            <w:col w:w="3500" w:space="720"/>
            <w:col w:w="5999"/>
          </w:cols>
          <w:pgMar w:left="240" w:top="447" w:right="1440" w:bottom="0" w:gutter="0" w:footer="0" w:header="0"/>
          <w:type w:val="continuous"/>
        </w:sectPr>
      </w:pPr>
    </w:p>
    <w:p>
      <w:pPr>
        <w:spacing w:after="0" w:line="7"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Persons</w:t>
      </w:r>
    </w:p>
    <w:p>
      <w:pPr>
        <w:jc w:val="center"/>
        <w:ind w:right="167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0"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March 27, 1997</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this Statement)</w:t>
      </w:r>
    </w:p>
    <w:p>
      <w:pPr>
        <w:spacing w:after="0" w:line="207"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13d-1(b)(3) or (4), check the following space ________.</w:t>
      </w:r>
    </w:p>
    <w:p>
      <w:pPr>
        <w:spacing w:after="0" w:line="178"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NOTE: Six copies of this statement, including all exhibits, should be filed with the Commission. See Rule 13d-1(a) for other parties to whom copies are to be sent.</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4"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w:t>
      </w:r>
    </w:p>
    <w:p>
      <w:pPr>
        <w:spacing w:after="0"/>
        <w:tabs>
          <w:tab w:leader="none" w:pos="4100" w:val="left"/>
        </w:tabs>
        <w:rPr>
          <w:sz w:val="20"/>
          <w:szCs w:val="20"/>
          <w:color w:val="auto"/>
        </w:rPr>
      </w:pPr>
      <w:r>
        <w:rPr>
          <w:rFonts w:ascii="Courier New" w:cs="Courier New" w:eastAsia="Courier New" w:hAnsi="Courier New"/>
          <w:sz w:val="18"/>
          <w:szCs w:val="18"/>
          <w:color w:val="auto"/>
        </w:rPr>
        <w:t>No. 151167103</w:t>
      </w:r>
      <w:r>
        <w:rPr>
          <w:sz w:val="20"/>
          <w:szCs w:val="20"/>
          <w:color w:val="auto"/>
        </w:rPr>
        <w:tab/>
      </w:r>
      <w:r>
        <w:rPr>
          <w:rFonts w:ascii="Courier New" w:cs="Courier New" w:eastAsia="Courier New" w:hAnsi="Courier New"/>
          <w:sz w:val="16"/>
          <w:szCs w:val="16"/>
          <w:color w:val="auto"/>
        </w:rPr>
        <w:t>13D</w:t>
      </w:r>
    </w:p>
    <w:p>
      <w:pPr>
        <w:spacing w:after="0"/>
        <w:rPr>
          <w:sz w:val="20"/>
          <w:szCs w:val="20"/>
          <w:color w:val="auto"/>
        </w:rPr>
      </w:pPr>
      <w:r>
        <w:rPr>
          <w:rFonts w:ascii="Courier New" w:cs="Courier New" w:eastAsia="Courier New" w:hAnsi="Courier New"/>
          <w:sz w:val="18"/>
          <w:szCs w:val="18"/>
          <w:color w:val="auto"/>
        </w:rPr>
        <w:t>================================================================================</w:t>
      </w:r>
    </w:p>
    <w:p>
      <w:pPr>
        <w:ind w:left="640" w:hanging="527"/>
        <w:spacing w:after="0" w:line="237" w:lineRule="auto"/>
        <w:tabs>
          <w:tab w:leader="none" w:pos="6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4220" w:right="4419" w:hanging="3582"/>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 Harvey Sandler</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 w:leader="none" w:pos="758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spacing w:after="0" w:line="201" w:lineRule="exact"/>
        <w:rPr>
          <w:sz w:val="24"/>
          <w:szCs w:val="24"/>
          <w:color w:val="auto"/>
        </w:rPr>
      </w:pPr>
    </w:p>
    <w:p>
      <w:pPr>
        <w:ind w:left="7600"/>
        <w:spacing w:after="0"/>
        <w:tabs>
          <w:tab w:leader="none"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4"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 w:leader="none" w:pos="336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Source of Funds*</w:t>
      </w:r>
      <w:r>
        <w:rPr>
          <w:sz w:val="20"/>
          <w:szCs w:val="20"/>
          <w:color w:val="auto"/>
        </w:rPr>
        <w:tab/>
      </w:r>
      <w:r>
        <w:rPr>
          <w:rFonts w:ascii="Courier New" w:cs="Courier New" w:eastAsia="Courier New" w:hAnsi="Courier New"/>
          <w:sz w:val="16"/>
          <w:szCs w:val="16"/>
          <w:color w:val="auto"/>
        </w:rPr>
        <w:t>PF, WC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47" w:right="1440" w:bottom="0" w:gutter="0" w:footer="0" w:header="0"/>
          <w:type w:val="continuous"/>
        </w:sectPr>
      </w:pPr>
    </w:p>
    <w:bookmarkStart w:id="1" w:name="page2"/>
    <w:bookmarkEnd w:id="1"/>
    <w:p>
      <w:pPr>
        <w:ind w:left="120"/>
        <w:spacing w:after="0"/>
        <w:tabs>
          <w:tab w:leader="none" w:pos="620" w:val="left"/>
          <w:tab w:leader="none" w:pos="810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Check Box if Disclosure of Legal Proceedings is Required</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620" w:val="left"/>
          <w:tab w:leader="none" w:pos="662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Citizenship or Place of Organization</w:t>
      </w:r>
      <w:r>
        <w:rPr>
          <w:sz w:val="20"/>
          <w:szCs w:val="20"/>
          <w:color w:val="auto"/>
        </w:rPr>
        <w:tab/>
      </w:r>
      <w:r>
        <w:rPr>
          <w:rFonts w:ascii="Courier New" w:cs="Courier New" w:eastAsia="Courier New" w:hAnsi="Courier New"/>
          <w:sz w:val="16"/>
          <w:szCs w:val="16"/>
          <w:color w:val="auto"/>
        </w:rPr>
        <w:t>United States</w:t>
      </w:r>
    </w:p>
    <w:p>
      <w:pPr>
        <w:spacing w:after="0" w:line="207"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tbl>
      <w:tblPr>
        <w:tblLayout w:type="fixed"/>
        <w:tblInd w:w="120" w:type="dxa"/>
        <w:tblCellMar>
          <w:top w:w="0" w:type="dxa"/>
          <w:left w:w="0" w:type="dxa"/>
          <w:bottom w:w="0" w:type="dxa"/>
          <w:right w:w="0" w:type="dxa"/>
        </w:tblCellMar>
      </w:tblPr>
      <w:tr>
        <w:trPr>
          <w:trHeight w:val="203"/>
        </w:trPr>
        <w:tc>
          <w:tcPr>
            <w:tcW w:w="136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spacing w:after="0"/>
              <w:rPr>
                <w:sz w:val="17"/>
                <w:szCs w:val="17"/>
                <w:color w:val="auto"/>
              </w:rPr>
            </w:pPr>
          </w:p>
        </w:tc>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1,011,116 shares</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4.47%</w:t>
            </w:r>
          </w:p>
        </w:tc>
      </w:tr>
      <w:tr>
        <w:trPr>
          <w:trHeight w:val="203"/>
        </w:trPr>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2"/>
              </w:rPr>
              <w:t>-----------------------------------------------------------------</w:t>
            </w:r>
          </w:p>
        </w:tc>
        <w:tc>
          <w:tcPr>
            <w:tcW w:w="1900" w:type="dxa"/>
            <w:vAlign w:val="bottom"/>
          </w:tcPr>
          <w:p>
            <w:pPr>
              <w:spacing w:after="0"/>
              <w:rPr>
                <w:sz w:val="17"/>
                <w:szCs w:val="17"/>
                <w:color w:val="auto"/>
              </w:rPr>
            </w:pP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900" w:type="dxa"/>
            <w:vAlign w:val="bottom"/>
          </w:tcPr>
          <w:p>
            <w:pPr>
              <w:spacing w:after="0"/>
              <w:rPr>
                <w:sz w:val="17"/>
                <w:szCs w:val="17"/>
                <w:color w:val="auto"/>
              </w:rPr>
            </w:pPr>
          </w:p>
        </w:tc>
      </w:tr>
      <w:tr>
        <w:trPr>
          <w:trHeight w:val="203"/>
        </w:trPr>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124,000 shares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Each</w:t>
            </w:r>
          </w:p>
        </w:tc>
        <w:tc>
          <w:tcPr>
            <w:tcW w:w="46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2"/>
              </w:rPr>
              <w:t>-----------------------------------------------------------------</w:t>
            </w:r>
          </w:p>
        </w:tc>
        <w:tc>
          <w:tcPr>
            <w:tcW w:w="1900" w:type="dxa"/>
            <w:vAlign w:val="bottom"/>
          </w:tcPr>
          <w:p>
            <w:pPr>
              <w:spacing w:after="0"/>
              <w:rPr>
                <w:sz w:val="17"/>
                <w:szCs w:val="17"/>
                <w:color w:val="auto"/>
              </w:rPr>
            </w:pPr>
          </w:p>
        </w:tc>
      </w:tr>
      <w:tr>
        <w:trPr>
          <w:trHeight w:val="203"/>
        </w:trPr>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900" w:type="dxa"/>
            <w:vAlign w:val="bottom"/>
          </w:tcPr>
          <w:p>
            <w:pPr>
              <w:spacing w:after="0"/>
              <w:rPr>
                <w:sz w:val="17"/>
                <w:szCs w:val="17"/>
                <w:color w:val="auto"/>
              </w:rPr>
            </w:pPr>
          </w:p>
        </w:tc>
      </w:tr>
      <w:tr>
        <w:trPr>
          <w:trHeight w:val="203"/>
        </w:trPr>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1,011,116 shares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w:t>
            </w: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With</w:t>
            </w:r>
          </w:p>
        </w:tc>
        <w:tc>
          <w:tcPr>
            <w:tcW w:w="46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2"/>
              </w:rPr>
              <w:t>-----------------------------------------------------------------</w:t>
            </w:r>
          </w:p>
        </w:tc>
        <w:tc>
          <w:tcPr>
            <w:tcW w:w="190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90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124,000 shares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ind w:left="3800"/>
        <w:spacing w:after="0"/>
        <w:rPr>
          <w:sz w:val="20"/>
          <w:szCs w:val="20"/>
          <w:color w:val="auto"/>
        </w:rPr>
      </w:pPr>
      <w:r>
        <w:rPr>
          <w:rFonts w:ascii="Courier New" w:cs="Courier New" w:eastAsia="Courier New" w:hAnsi="Courier New"/>
          <w:sz w:val="18"/>
          <w:szCs w:val="18"/>
          <w:color w:val="auto"/>
        </w:rPr>
        <w:t>1,135,116 shares</w:t>
      </w:r>
    </w:p>
    <w:p>
      <w:pPr>
        <w:spacing w:after="0" w:line="206"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 Shares* | |</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ind w:left="7600"/>
        <w:spacing w:after="0"/>
        <w:rPr>
          <w:sz w:val="20"/>
          <w:szCs w:val="20"/>
          <w:color w:val="auto"/>
        </w:rPr>
      </w:pPr>
      <w:r>
        <w:rPr>
          <w:rFonts w:ascii="Courier New" w:cs="Courier New" w:eastAsia="Courier New" w:hAnsi="Courier New"/>
          <w:sz w:val="18"/>
          <w:szCs w:val="18"/>
          <w:color w:val="auto"/>
        </w:rPr>
        <w:t>5.01%</w:t>
      </w:r>
    </w:p>
    <w:p>
      <w:pPr>
        <w:spacing w:after="0" w:line="3"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ind w:left="4540"/>
        <w:spacing w:after="0"/>
        <w:rPr>
          <w:sz w:val="20"/>
          <w:szCs w:val="20"/>
          <w:color w:val="auto"/>
        </w:rPr>
      </w:pPr>
      <w:r>
        <w:rPr>
          <w:rFonts w:ascii="Courier New" w:cs="Courier New" w:eastAsia="Courier New" w:hAnsi="Courier New"/>
          <w:sz w:val="18"/>
          <w:szCs w:val="18"/>
          <w:color w:val="auto"/>
        </w:rPr>
        <w:t>IN</w:t>
      </w: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CUSIP</w:t>
      </w:r>
    </w:p>
    <w:p>
      <w:pPr>
        <w:spacing w:after="0"/>
        <w:tabs>
          <w:tab w:leader="none" w:pos="620" w:val="left"/>
          <w:tab w:leader="none" w:pos="410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151167103</w:t>
      </w:r>
      <w:r>
        <w:rPr>
          <w:sz w:val="20"/>
          <w:szCs w:val="20"/>
          <w:color w:val="auto"/>
        </w:rPr>
        <w:tab/>
      </w:r>
      <w:r>
        <w:rPr>
          <w:rFonts w:ascii="Courier New" w:cs="Courier New" w:eastAsia="Courier New" w:hAnsi="Courier New"/>
          <w:sz w:val="16"/>
          <w:szCs w:val="16"/>
          <w:color w:val="auto"/>
        </w:rPr>
        <w:t>13D</w:t>
      </w:r>
    </w:p>
    <w:p>
      <w:pPr>
        <w:spacing w:after="0"/>
        <w:rPr>
          <w:sz w:val="20"/>
          <w:szCs w:val="20"/>
          <w:color w:val="auto"/>
        </w:rPr>
      </w:pPr>
      <w:r>
        <w:rPr>
          <w:rFonts w:ascii="Courier New" w:cs="Courier New" w:eastAsia="Courier New" w:hAnsi="Courier New"/>
          <w:sz w:val="18"/>
          <w:szCs w:val="18"/>
          <w:color w:val="auto"/>
        </w:rPr>
        <w:t>================================================================================</w:t>
      </w:r>
    </w:p>
    <w:p>
      <w:pPr>
        <w:ind w:left="640" w:hanging="527"/>
        <w:spacing w:after="0" w:line="237" w:lineRule="auto"/>
        <w:tabs>
          <w:tab w:leader="none" w:pos="6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3900" w:right="4419" w:hanging="3266"/>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S.S. or I.R.S. Identification No. of Above Person Phyllis Sandler</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620" w:val="left"/>
          <w:tab w:leader="none" w:pos="758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spacing w:after="0" w:line="201" w:lineRule="exact"/>
        <w:rPr>
          <w:sz w:val="20"/>
          <w:szCs w:val="20"/>
          <w:color w:val="auto"/>
        </w:rPr>
      </w:pPr>
    </w:p>
    <w:p>
      <w:pPr>
        <w:ind w:left="7600"/>
        <w:spacing w:after="0"/>
        <w:tabs>
          <w:tab w:leader="none"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30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73"/>
              </w:rPr>
              <w:t>4</w:t>
            </w:r>
          </w:p>
        </w:tc>
        <w:tc>
          <w:tcPr>
            <w:tcW w:w="2440" w:type="dxa"/>
            <w:vAlign w:val="bottom"/>
          </w:tcPr>
          <w:p>
            <w:pPr>
              <w:ind w:left="220"/>
              <w:spacing w:after="0"/>
              <w:rPr>
                <w:sz w:val="20"/>
                <w:szCs w:val="20"/>
                <w:color w:val="auto"/>
              </w:rPr>
            </w:pPr>
            <w:r>
              <w:rPr>
                <w:rFonts w:ascii="Courier New" w:cs="Courier New" w:eastAsia="Courier New" w:hAnsi="Courier New"/>
                <w:sz w:val="18"/>
                <w:szCs w:val="18"/>
                <w:color w:val="auto"/>
              </w:rPr>
              <w:t>Source of Funds*</w:t>
            </w:r>
          </w:p>
        </w:tc>
        <w:tc>
          <w:tcPr>
            <w:tcW w:w="3740" w:type="dxa"/>
            <w:vAlign w:val="bottom"/>
          </w:tcPr>
          <w:p>
            <w:pPr>
              <w:ind w:left="520"/>
              <w:spacing w:after="0"/>
              <w:rPr>
                <w:sz w:val="20"/>
                <w:szCs w:val="20"/>
                <w:color w:val="auto"/>
              </w:rPr>
            </w:pPr>
            <w:r>
              <w:rPr>
                <w:rFonts w:ascii="Courier New" w:cs="Courier New" w:eastAsia="Courier New" w:hAnsi="Courier New"/>
                <w:sz w:val="18"/>
                <w:szCs w:val="18"/>
                <w:color w:val="auto"/>
              </w:rPr>
              <w:t>PF, WC</w:t>
            </w:r>
          </w:p>
        </w:tc>
        <w:tc>
          <w:tcPr>
            <w:tcW w:w="2040" w:type="dxa"/>
            <w:vAlign w:val="bottom"/>
          </w:tcPr>
          <w:p>
            <w:pPr>
              <w:spacing w:after="0"/>
              <w:rPr>
                <w:sz w:val="17"/>
                <w:szCs w:val="17"/>
                <w:color w:val="auto"/>
              </w:rPr>
            </w:pPr>
          </w:p>
        </w:tc>
      </w:tr>
      <w:tr>
        <w:trPr>
          <w:trHeight w:val="405"/>
        </w:trPr>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5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120" w:type="dxa"/>
            <w:vAlign w:val="bottom"/>
          </w:tcPr>
          <w:p>
            <w:pPr>
              <w:spacing w:after="0"/>
              <w:rPr>
                <w:sz w:val="17"/>
                <w:szCs w:val="17"/>
                <w:color w:val="auto"/>
              </w:rPr>
            </w:pPr>
          </w:p>
        </w:tc>
        <w:tc>
          <w:tcPr>
            <w:tcW w:w="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73"/>
              </w:rPr>
              <w:t>5</w:t>
            </w:r>
          </w:p>
        </w:tc>
        <w:tc>
          <w:tcPr>
            <w:tcW w:w="6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8"/>
              </w:rPr>
              <w:t>Check Box if Disclosure of Legal Proceedings is Required</w:t>
            </w:r>
          </w:p>
        </w:tc>
        <w:tc>
          <w:tcPr>
            <w:tcW w:w="2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852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8"/>
              </w:rPr>
              <w:t>--------------------------------------------------------------------------------</w:t>
            </w:r>
          </w:p>
        </w:tc>
      </w:tr>
      <w:tr>
        <w:trPr>
          <w:trHeight w:val="203"/>
        </w:trPr>
        <w:tc>
          <w:tcPr>
            <w:tcW w:w="120" w:type="dxa"/>
            <w:vAlign w:val="bottom"/>
          </w:tcPr>
          <w:p>
            <w:pPr>
              <w:spacing w:after="0"/>
              <w:rPr>
                <w:sz w:val="17"/>
                <w:szCs w:val="17"/>
                <w:color w:val="auto"/>
              </w:rPr>
            </w:pPr>
          </w:p>
        </w:tc>
        <w:tc>
          <w:tcPr>
            <w:tcW w:w="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73"/>
              </w:rPr>
              <w:t>6</w:t>
            </w:r>
          </w:p>
        </w:tc>
        <w:tc>
          <w:tcPr>
            <w:tcW w:w="61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Citizenship or Place of Organization</w:t>
            </w:r>
          </w:p>
        </w:tc>
        <w:tc>
          <w:tcPr>
            <w:tcW w:w="2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9"/>
              </w:rPr>
              <w:t>United States</w:t>
            </w:r>
          </w:p>
        </w:tc>
      </w:tr>
    </w:tbl>
    <w:p>
      <w:pPr>
        <w:spacing w:after="0" w:line="207"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tbl>
      <w:tblPr>
        <w:tblLayout w:type="fixed"/>
        <w:tblInd w:w="120" w:type="dxa"/>
        <w:tblCellMar>
          <w:top w:w="0" w:type="dxa"/>
          <w:left w:w="0" w:type="dxa"/>
          <w:bottom w:w="0" w:type="dxa"/>
          <w:right w:w="0" w:type="dxa"/>
        </w:tblCellMar>
      </w:tblPr>
      <w:tr>
        <w:trPr>
          <w:trHeight w:val="203"/>
        </w:trPr>
        <w:tc>
          <w:tcPr>
            <w:tcW w:w="1360" w:type="dxa"/>
            <w:vAlign w:val="bottom"/>
          </w:tcPr>
          <w:p>
            <w:pPr>
              <w:ind w:left="2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spacing w:after="0"/>
              <w:rPr>
                <w:sz w:val="17"/>
                <w:szCs w:val="17"/>
                <w:color w:val="auto"/>
              </w:rPr>
            </w:pPr>
          </w:p>
        </w:tc>
        <w:tc>
          <w:tcPr>
            <w:tcW w:w="3900" w:type="dxa"/>
            <w:vAlign w:val="bottom"/>
          </w:tcPr>
          <w:p>
            <w:pPr>
              <w:ind w:left="220"/>
              <w:spacing w:after="0"/>
              <w:rPr>
                <w:sz w:val="20"/>
                <w:szCs w:val="20"/>
                <w:color w:val="auto"/>
              </w:rPr>
            </w:pPr>
            <w:r>
              <w:rPr>
                <w:rFonts w:ascii="Courier New" w:cs="Courier New" w:eastAsia="Courier New" w:hAnsi="Courier New"/>
                <w:sz w:val="18"/>
                <w:szCs w:val="18"/>
                <w:color w:val="auto"/>
              </w:rPr>
              <w:t>124,000 shares</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.55%</w:t>
            </w:r>
          </w:p>
        </w:tc>
      </w:tr>
      <w:tr>
        <w:trPr>
          <w:trHeight w:val="203"/>
        </w:trPr>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2"/>
              </w:rPr>
              <w:t>-----------------------------------------------------------------</w:t>
            </w:r>
          </w:p>
        </w:tc>
        <w:tc>
          <w:tcPr>
            <w:tcW w:w="1900" w:type="dxa"/>
            <w:vAlign w:val="bottom"/>
          </w:tcPr>
          <w:p>
            <w:pPr>
              <w:spacing w:after="0"/>
              <w:rPr>
                <w:sz w:val="17"/>
                <w:szCs w:val="17"/>
                <w:color w:val="auto"/>
              </w:rPr>
            </w:pP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8</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900" w:type="dxa"/>
            <w:vAlign w:val="bottom"/>
          </w:tcPr>
          <w:p>
            <w:pPr>
              <w:spacing w:after="0"/>
              <w:rPr>
                <w:sz w:val="17"/>
                <w:szCs w:val="17"/>
                <w:color w:val="auto"/>
              </w:rPr>
            </w:pPr>
          </w:p>
        </w:tc>
      </w:tr>
      <w:tr>
        <w:trPr>
          <w:trHeight w:val="203"/>
        </w:trPr>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1,011,116 shares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w:t>
            </w: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Each</w:t>
            </w:r>
          </w:p>
        </w:tc>
        <w:tc>
          <w:tcPr>
            <w:tcW w:w="46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2"/>
              </w:rPr>
              <w:t>-----------------------------------------------------------------</w:t>
            </w:r>
          </w:p>
        </w:tc>
        <w:tc>
          <w:tcPr>
            <w:tcW w:w="1900" w:type="dxa"/>
            <w:vAlign w:val="bottom"/>
          </w:tcPr>
          <w:p>
            <w:pPr>
              <w:spacing w:after="0"/>
              <w:rPr>
                <w:sz w:val="17"/>
                <w:szCs w:val="17"/>
                <w:color w:val="auto"/>
              </w:rPr>
            </w:pPr>
          </w:p>
        </w:tc>
      </w:tr>
      <w:tr>
        <w:trPr>
          <w:trHeight w:val="203"/>
        </w:trPr>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9</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900" w:type="dxa"/>
            <w:vAlign w:val="bottom"/>
          </w:tcPr>
          <w:p>
            <w:pPr>
              <w:spacing w:after="0"/>
              <w:rPr>
                <w:sz w:val="17"/>
                <w:szCs w:val="17"/>
                <w:color w:val="auto"/>
              </w:rPr>
            </w:pPr>
          </w:p>
        </w:tc>
      </w:tr>
      <w:tr>
        <w:trPr>
          <w:trHeight w:val="203"/>
        </w:trPr>
        <w:tc>
          <w:tcPr>
            <w:tcW w:w="13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7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124,000 shares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3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With</w:t>
            </w:r>
          </w:p>
        </w:tc>
        <w:tc>
          <w:tcPr>
            <w:tcW w:w="464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72"/>
              </w:rPr>
              <w:t>-----------------------------------------------------------------</w:t>
            </w:r>
          </w:p>
        </w:tc>
        <w:tc>
          <w:tcPr>
            <w:tcW w:w="190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7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w:t>
            </w:r>
          </w:p>
        </w:tc>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90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1,011,116 shares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4.47%</w:t>
            </w: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ind w:left="3800"/>
        <w:spacing w:after="0"/>
        <w:rPr>
          <w:sz w:val="20"/>
          <w:szCs w:val="20"/>
          <w:color w:val="auto"/>
        </w:rPr>
      </w:pPr>
      <w:r>
        <w:rPr>
          <w:rFonts w:ascii="Courier New" w:cs="Courier New" w:eastAsia="Courier New" w:hAnsi="Courier New"/>
          <w:sz w:val="18"/>
          <w:szCs w:val="18"/>
          <w:color w:val="auto"/>
        </w:rPr>
        <w:t>1,135,116 shares</w:t>
      </w:r>
    </w:p>
    <w:p>
      <w:pPr>
        <w:spacing w:after="0" w:line="206"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 Shares* | |</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ind w:left="7480"/>
        <w:spacing w:after="0"/>
        <w:rPr>
          <w:sz w:val="20"/>
          <w:szCs w:val="20"/>
          <w:color w:val="auto"/>
        </w:rPr>
      </w:pPr>
      <w:r>
        <w:rPr>
          <w:rFonts w:ascii="Courier New" w:cs="Courier New" w:eastAsia="Courier New" w:hAnsi="Courier New"/>
          <w:sz w:val="18"/>
          <w:szCs w:val="18"/>
          <w:color w:val="auto"/>
        </w:rPr>
        <w:t>5.01%</w:t>
      </w:r>
    </w:p>
    <w:p>
      <w:pPr>
        <w:spacing w:after="0" w:line="206"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ind w:left="4540"/>
        <w:spacing w:after="0"/>
        <w:rPr>
          <w:sz w:val="20"/>
          <w:szCs w:val="20"/>
          <w:color w:val="auto"/>
        </w:rPr>
      </w:pPr>
      <w:r>
        <w:rPr>
          <w:rFonts w:ascii="Courier New" w:cs="Courier New" w:eastAsia="Courier New" w:hAnsi="Courier New"/>
          <w:sz w:val="18"/>
          <w:szCs w:val="18"/>
          <w:color w:val="auto"/>
        </w:rPr>
        <w:t>IN</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ind w:right="1879" w:firstLine="948"/>
        <w:spacing w:after="0" w:line="236" w:lineRule="auto"/>
        <w:rPr>
          <w:sz w:val="20"/>
          <w:szCs w:val="20"/>
          <w:color w:val="auto"/>
        </w:rPr>
      </w:pPr>
      <w:r>
        <w:rPr>
          <w:rFonts w:ascii="Courier New" w:cs="Courier New" w:eastAsia="Courier New" w:hAnsi="Courier New"/>
          <w:sz w:val="18"/>
          <w:szCs w:val="18"/>
          <w:color w:val="auto"/>
        </w:rPr>
        <w:t>This statement, dated March 27, 1997, relates to the reporting persons ownership of certain securities of Cellular Technical Services Co., Inc. (the "Issuer").</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left="1580" w:hanging="519"/>
        <w:spacing w:after="0"/>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$0.001 par value per share (CUSIP No. 151167103).</w:t>
      </w:r>
    </w:p>
    <w:p>
      <w:pPr>
        <w:spacing w:after="0" w:line="223" w:lineRule="exact"/>
        <w:rPr>
          <w:rFonts w:ascii="Courier New" w:cs="Courier New" w:eastAsia="Courier New" w:hAnsi="Courier New"/>
          <w:sz w:val="16"/>
          <w:szCs w:val="16"/>
          <w:color w:val="auto"/>
        </w:rPr>
      </w:pPr>
    </w:p>
    <w:p>
      <w:pPr>
        <w:ind w:left="1580" w:right="4739" w:hanging="519"/>
        <w:spacing w:after="0" w:line="236"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Cellular Technical Services Co., Inc. 2401 Fourth Avenue, Suite 808 Seattle, Washington 98121</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1060" w:hanging="420"/>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Harvey Sandler, the husband of Phyllis Sandler.</w:t>
      </w:r>
    </w:p>
    <w:p>
      <w:pPr>
        <w:spacing w:after="0" w:line="201" w:lineRule="exact"/>
        <w:rPr>
          <w:sz w:val="20"/>
          <w:szCs w:val="20"/>
          <w:color w:val="auto"/>
        </w:rPr>
      </w:pPr>
    </w:p>
    <w:p>
      <w:pPr>
        <w:ind w:left="1580" w:hanging="519"/>
        <w:spacing w:after="0"/>
        <w:tabs>
          <w:tab w:leader="none" w:pos="15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w:t>
      </w:r>
    </w:p>
    <w:p>
      <w:pPr>
        <w:ind w:left="2220"/>
        <w:spacing w:after="0" w:line="238" w:lineRule="auto"/>
        <w:rPr>
          <w:sz w:val="20"/>
          <w:szCs w:val="20"/>
          <w:color w:val="auto"/>
        </w:rPr>
      </w:pPr>
      <w:r>
        <w:rPr>
          <w:rFonts w:ascii="Courier New" w:cs="Courier New" w:eastAsia="Courier New" w:hAnsi="Courier New"/>
          <w:sz w:val="18"/>
          <w:szCs w:val="18"/>
          <w:color w:val="auto"/>
        </w:rPr>
        <w:t>1050 Lee Wagener Blvd., Suite 301</w:t>
      </w:r>
    </w:p>
    <w:p>
      <w:pPr>
        <w:ind w:left="2220"/>
        <w:spacing w:after="0"/>
        <w:rPr>
          <w:sz w:val="20"/>
          <w:szCs w:val="20"/>
          <w:color w:val="auto"/>
        </w:rPr>
      </w:pPr>
      <w:r>
        <w:rPr>
          <w:rFonts w:ascii="Courier New" w:cs="Courier New" w:eastAsia="Courier New" w:hAnsi="Courier New"/>
          <w:sz w:val="18"/>
          <w:szCs w:val="18"/>
          <w:color w:val="auto"/>
        </w:rPr>
        <w:t>Fort Lauderdale, Florida 33315</w:t>
      </w:r>
    </w:p>
    <w:p>
      <w:pPr>
        <w:spacing w:after="0" w:line="200" w:lineRule="exact"/>
        <w:rPr>
          <w:sz w:val="20"/>
          <w:szCs w:val="20"/>
          <w:color w:val="auto"/>
        </w:rPr>
      </w:pPr>
    </w:p>
    <w:p>
      <w:pPr>
        <w:ind w:left="1580" w:hanging="519"/>
        <w:spacing w:after="0"/>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Occupation: Investor.</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United States.</w:t>
      </w:r>
    </w:p>
    <w:p>
      <w:pPr>
        <w:spacing w:after="0" w:line="201" w:lineRule="exact"/>
        <w:rPr>
          <w:rFonts w:ascii="Courier New" w:cs="Courier New" w:eastAsia="Courier New" w:hAnsi="Courier New"/>
          <w:sz w:val="18"/>
          <w:szCs w:val="18"/>
          <w:color w:val="auto"/>
        </w:rPr>
      </w:pPr>
    </w:p>
    <w:p>
      <w:pPr>
        <w:ind w:left="1060" w:hanging="420"/>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Phyllis Sandler, the wife of Harvey Sandler.</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w:t>
      </w:r>
    </w:p>
    <w:p>
      <w:pPr>
        <w:ind w:left="2220"/>
        <w:spacing w:after="0" w:line="238" w:lineRule="auto"/>
        <w:rPr>
          <w:sz w:val="20"/>
          <w:szCs w:val="20"/>
          <w:color w:val="auto"/>
        </w:rPr>
      </w:pPr>
      <w:r>
        <w:rPr>
          <w:rFonts w:ascii="Courier New" w:cs="Courier New" w:eastAsia="Courier New" w:hAnsi="Courier New"/>
          <w:sz w:val="18"/>
          <w:szCs w:val="18"/>
          <w:color w:val="auto"/>
        </w:rPr>
        <w:t>1050 Lee Wagener Blvd., Suite 301</w:t>
      </w:r>
    </w:p>
    <w:p>
      <w:pPr>
        <w:ind w:left="2220"/>
        <w:spacing w:after="0"/>
        <w:rPr>
          <w:sz w:val="20"/>
          <w:szCs w:val="20"/>
          <w:color w:val="auto"/>
        </w:rPr>
      </w:pPr>
      <w:r>
        <w:rPr>
          <w:rFonts w:ascii="Courier New" w:cs="Courier New" w:eastAsia="Courier New" w:hAnsi="Courier New"/>
          <w:sz w:val="18"/>
          <w:szCs w:val="18"/>
          <w:color w:val="auto"/>
        </w:rPr>
        <w:t>Fort lauderdale, Florida 33315</w:t>
      </w:r>
    </w:p>
    <w:p>
      <w:pPr>
        <w:spacing w:after="0" w:line="200" w:lineRule="exact"/>
        <w:rPr>
          <w:sz w:val="20"/>
          <w:szCs w:val="20"/>
          <w:color w:val="auto"/>
        </w:rPr>
      </w:pPr>
    </w:p>
    <w:p>
      <w:pPr>
        <w:ind w:left="1580" w:hanging="519"/>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Occupation: Investor.</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United States.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Amounts of Funds or Other Consideration</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individual reporting person obtained funds for the purchase of the shares of Common Stock from the working capital of the reporting person's personal investment account.</w:t>
      </w:r>
    </w:p>
    <w:p>
      <w:pPr>
        <w:spacing w:after="0" w:line="209"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The amount of funds used in acquiring the shares of Common Stock and the Options are set forth below:</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Name</w:t>
      </w:r>
    </w:p>
    <w:p>
      <w:pPr>
        <w:ind w:left="960"/>
        <w:spacing w:after="0" w:line="238" w:lineRule="auto"/>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Harvey Sandler</w:t>
      </w:r>
    </w:p>
    <w:p>
      <w:pPr>
        <w:spacing w:after="0" w:line="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Phyllis Sandler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 of Consideration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$ 13,574,749</w:t>
      </w:r>
    </w:p>
    <w:p>
      <w:pPr>
        <w:ind w:left="640"/>
        <w:spacing w:after="0"/>
        <w:tabs>
          <w:tab w:leader="none" w:pos="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1,933,676</w:t>
      </w:r>
    </w:p>
    <w:p>
      <w:pPr>
        <w:spacing w:after="0" w:line="200" w:lineRule="exact"/>
        <w:rPr>
          <w:sz w:val="20"/>
          <w:szCs w:val="20"/>
          <w:color w:val="auto"/>
        </w:rPr>
      </w:pPr>
    </w:p>
    <w:p>
      <w:pPr>
        <w:sectPr>
          <w:pgSz w:w="11900" w:h="16838" w:orient="portrait"/>
          <w:cols w:equalWidth="0" w:num="2">
            <w:col w:w="4020" w:space="720"/>
            <w:col w:w="5479"/>
          </w:cols>
          <w:pgMar w:left="240" w:top="717" w:right="1440" w:bottom="1440" w:gutter="0" w:footer="0" w:header="0"/>
          <w:type w:val="continuous"/>
        </w:sectPr>
      </w:pPr>
    </w:p>
    <w:p>
      <w:pPr>
        <w:spacing w:after="0" w:line="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2619" w:firstLine="948"/>
        <w:spacing w:after="0" w:line="235" w:lineRule="auto"/>
        <w:rPr>
          <w:sz w:val="20"/>
          <w:szCs w:val="20"/>
          <w:color w:val="auto"/>
        </w:rPr>
      </w:pPr>
      <w:r>
        <w:rPr>
          <w:rFonts w:ascii="Courier New" w:cs="Courier New" w:eastAsia="Courier New" w:hAnsi="Courier New"/>
          <w:sz w:val="18"/>
          <w:szCs w:val="18"/>
          <w:color w:val="auto"/>
        </w:rPr>
        <w:t>The reporting persons acquired their securities for purposes of investment.</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The reporting persons do not have any plans or proposals which relate to or would result in any of the actions set forth in subparagraphs (a) through (j) of Item 4 of Schedule 13D.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in Securities of the Issuer.</w:t>
      </w:r>
    </w:p>
    <w:p>
      <w:pPr>
        <w:spacing w:after="0" w:line="207" w:lineRule="exact"/>
        <w:rPr>
          <w:sz w:val="20"/>
          <w:szCs w:val="20"/>
          <w:color w:val="auto"/>
        </w:rPr>
      </w:pPr>
    </w:p>
    <w:p>
      <w:pPr>
        <w:ind w:right="1879" w:firstLine="956"/>
        <w:spacing w:after="0" w:line="237" w:lineRule="auto"/>
        <w:tabs>
          <w:tab w:leader="none" w:pos="1369"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list sets forth the aggregate number and percentage (based on 22,640,868 shares of Common Stock outstanding as reported in the Issuer's Form 10-K for the year ended December 31, 1996) of outstanding shares of Common Stock owned beneficially by each reporting person named in Item 2, as of March 27, 1997:</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3360" w:type="dxa"/>
            <w:vAlign w:val="bottom"/>
          </w:tcPr>
          <w:p>
            <w:pPr>
              <w:ind w:left="1260"/>
              <w:spacing w:after="0"/>
              <w:rPr>
                <w:sz w:val="20"/>
                <w:szCs w:val="20"/>
                <w:color w:val="auto"/>
              </w:rPr>
            </w:pPr>
            <w:r>
              <w:rPr>
                <w:rFonts w:ascii="Courier New" w:cs="Courier New" w:eastAsia="Courier New" w:hAnsi="Courier New"/>
                <w:sz w:val="18"/>
                <w:szCs w:val="18"/>
                <w:color w:val="auto"/>
              </w:rPr>
              <w:t>Shares of</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Percentage of</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2440" w:type="dxa"/>
            <w:vAlign w:val="bottom"/>
          </w:tcPr>
          <w:p>
            <w:pPr>
              <w:spacing w:after="0"/>
              <w:rPr>
                <w:sz w:val="17"/>
                <w:szCs w:val="17"/>
                <w:color w:val="auto"/>
              </w:rPr>
            </w:pPr>
          </w:p>
        </w:tc>
        <w:tc>
          <w:tcPr>
            <w:tcW w:w="3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Common Stock</w:t>
            </w:r>
          </w:p>
        </w:tc>
        <w:tc>
          <w:tcPr>
            <w:tcW w:w="27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of Common Stock</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33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1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Owned</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360" w:type="dxa"/>
            <w:vAlign w:val="bottom"/>
          </w:tcPr>
          <w:p>
            <w:pPr>
              <w:ind w:left="940"/>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Harvey Sandler</w:t>
            </w:r>
          </w:p>
        </w:tc>
        <w:tc>
          <w:tcPr>
            <w:tcW w:w="3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1,135,116(1,2)</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5.01%</w:t>
            </w:r>
          </w:p>
        </w:tc>
        <w:tc>
          <w:tcPr>
            <w:tcW w:w="1000" w:type="dxa"/>
            <w:vAlign w:val="bottom"/>
          </w:tcPr>
          <w:p>
            <w:pPr>
              <w:spacing w:after="0"/>
              <w:rPr>
                <w:sz w:val="17"/>
                <w:szCs w:val="17"/>
                <w:color w:val="auto"/>
              </w:rPr>
            </w:pP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Phyllis Sandler</w:t>
            </w:r>
          </w:p>
        </w:tc>
        <w:tc>
          <w:tcPr>
            <w:tcW w:w="336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1,135,116(1,2)</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5.01%</w:t>
            </w:r>
          </w:p>
        </w:tc>
        <w:tc>
          <w:tcPr>
            <w:tcW w:w="10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1,000 shares of Common Stock held in Mrs. Sandler's IRA Account.</w:t>
      </w:r>
    </w:p>
    <w:p>
      <w:pPr>
        <w:spacing w:after="0" w:line="207" w:lineRule="exact"/>
        <w:rPr>
          <w:rFonts w:ascii="Courier New" w:cs="Courier New" w:eastAsia="Courier New" w:hAnsi="Courier New"/>
          <w:sz w:val="18"/>
          <w:szCs w:val="18"/>
          <w:color w:val="auto"/>
        </w:rPr>
      </w:pPr>
    </w:p>
    <w:p>
      <w:pPr>
        <w:ind w:left="540" w:right="2099" w:hanging="532"/>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disclaims beneficial ownership of these securities, except to the extent of his/her equity interest therein.</w:t>
      </w:r>
    </w:p>
    <w:p>
      <w:pPr>
        <w:spacing w:after="0" w:line="200" w:lineRule="exact"/>
        <w:rPr>
          <w:sz w:val="20"/>
          <w:szCs w:val="20"/>
          <w:color w:val="auto"/>
        </w:rPr>
      </w:pP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type w:val="continuous"/>
        </w:sectPr>
      </w:pPr>
    </w:p>
    <w:bookmarkStart w:id="5" w:name="page6"/>
    <w:bookmarkEnd w:id="5"/>
    <w:p>
      <w:pPr>
        <w:jc w:val="both"/>
        <w:ind w:right="1999" w:firstLine="956"/>
        <w:spacing w:after="0" w:line="279" w:lineRule="auto"/>
        <w:tabs>
          <w:tab w:leader="none" w:pos="136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virtue of being the husband of Phyllis Sandler, Harvey Sandler may be deemed to have shared power to vote and to dispose of 124,000 shares of Common Stock, representing approximately .55% of the outstanding Common Stock.</w:t>
      </w:r>
    </w:p>
    <w:p>
      <w:pPr>
        <w:spacing w:after="0" w:line="178" w:lineRule="exact"/>
        <w:rPr>
          <w:sz w:val="20"/>
          <w:szCs w:val="20"/>
          <w:color w:val="auto"/>
        </w:rPr>
      </w:pPr>
    </w:p>
    <w:p>
      <w:pPr>
        <w:ind w:right="1879" w:firstLine="1369"/>
        <w:spacing w:after="0" w:line="279" w:lineRule="auto"/>
        <w:rPr>
          <w:sz w:val="20"/>
          <w:szCs w:val="20"/>
          <w:color w:val="auto"/>
        </w:rPr>
      </w:pPr>
      <w:r>
        <w:rPr>
          <w:rFonts w:ascii="Courier New" w:cs="Courier New" w:eastAsia="Courier New" w:hAnsi="Courier New"/>
          <w:sz w:val="16"/>
          <w:szCs w:val="16"/>
          <w:color w:val="auto"/>
        </w:rPr>
        <w:t>By virtue of being the wife of Harvey Sandler, Phyllis Sandler may be deemed to have shared power to vote and to dispose of 1,011,116 shares of Common Stock, representing approximately 4.47% of the outstanding Common Stock.</w:t>
      </w:r>
    </w:p>
    <w:p>
      <w:pPr>
        <w:spacing w:after="0" w:line="178" w:lineRule="exact"/>
        <w:rPr>
          <w:sz w:val="20"/>
          <w:szCs w:val="20"/>
          <w:color w:val="auto"/>
        </w:rPr>
      </w:pPr>
    </w:p>
    <w:p>
      <w:pPr>
        <w:ind w:right="1879" w:firstLine="956"/>
        <w:spacing w:after="0" w:line="268" w:lineRule="auto"/>
        <w:tabs>
          <w:tab w:leader="none" w:pos="136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is a description of all transactions in shares of Common Stock of the Issuer by the persons identified in Item 2 of this Schedule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13D effected from January 26, 1997 through March 27, 1997, inclusive: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16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Purchase or</w:t>
            </w:r>
          </w:p>
        </w:tc>
        <w:tc>
          <w:tcPr>
            <w:tcW w:w="2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Number of Shares</w:t>
            </w:r>
          </w:p>
        </w:tc>
        <w:tc>
          <w:tcPr>
            <w:tcW w:w="1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Purchase or</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Shareholder</w:t>
            </w:r>
          </w:p>
        </w:tc>
        <w:tc>
          <w:tcPr>
            <w:tcW w:w="16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Sale Date</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Purchased or (Sold)</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Sale Price</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w:t>
            </w:r>
          </w:p>
        </w:tc>
        <w:tc>
          <w:tcPr>
            <w:tcW w:w="2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Harvey Sandler</w:t>
            </w:r>
          </w:p>
        </w:tc>
        <w:tc>
          <w:tcPr>
            <w:tcW w:w="16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1/29/97</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12.375</w:t>
            </w:r>
          </w:p>
        </w:tc>
      </w:tr>
      <w:tr>
        <w:trPr>
          <w:trHeight w:val="203"/>
        </w:trPr>
        <w:tc>
          <w:tcPr>
            <w:tcW w:w="2440" w:type="dxa"/>
            <w:vAlign w:val="bottom"/>
          </w:tcPr>
          <w:p>
            <w:pPr>
              <w:spacing w:after="0"/>
              <w:rPr>
                <w:sz w:val="17"/>
                <w:szCs w:val="17"/>
                <w:color w:val="auto"/>
              </w:rPr>
            </w:pPr>
          </w:p>
        </w:tc>
        <w:tc>
          <w:tcPr>
            <w:tcW w:w="16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1/29/97</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11.875</w:t>
            </w:r>
          </w:p>
        </w:tc>
      </w:tr>
      <w:tr>
        <w:trPr>
          <w:trHeight w:val="203"/>
        </w:trPr>
        <w:tc>
          <w:tcPr>
            <w:tcW w:w="2440" w:type="dxa"/>
            <w:vAlign w:val="bottom"/>
          </w:tcPr>
          <w:p>
            <w:pPr>
              <w:spacing w:after="0"/>
              <w:rPr>
                <w:sz w:val="17"/>
                <w:szCs w:val="17"/>
                <w:color w:val="auto"/>
              </w:rPr>
            </w:pPr>
          </w:p>
        </w:tc>
        <w:tc>
          <w:tcPr>
            <w:tcW w:w="16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1/29/97</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13.00</w:t>
            </w:r>
          </w:p>
        </w:tc>
      </w:tr>
      <w:tr>
        <w:trPr>
          <w:trHeight w:val="203"/>
        </w:trPr>
        <w:tc>
          <w:tcPr>
            <w:tcW w:w="2440" w:type="dxa"/>
            <w:vAlign w:val="bottom"/>
          </w:tcPr>
          <w:p>
            <w:pPr>
              <w:spacing w:after="0"/>
              <w:rPr>
                <w:sz w:val="17"/>
                <w:szCs w:val="17"/>
                <w:color w:val="auto"/>
              </w:rPr>
            </w:pPr>
          </w:p>
        </w:tc>
        <w:tc>
          <w:tcPr>
            <w:tcW w:w="16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1/29/97</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12.25</w:t>
            </w:r>
          </w:p>
        </w:tc>
      </w:tr>
      <w:tr>
        <w:trPr>
          <w:trHeight w:val="405"/>
        </w:trPr>
        <w:tc>
          <w:tcPr>
            <w:tcW w:w="2440" w:type="dxa"/>
            <w:vAlign w:val="bottom"/>
          </w:tcPr>
          <w:p>
            <w:pPr>
              <w:spacing w:after="0"/>
              <w:rPr>
                <w:sz w:val="24"/>
                <w:szCs w:val="24"/>
                <w:color w:val="auto"/>
              </w:rPr>
            </w:pPr>
          </w:p>
        </w:tc>
        <w:tc>
          <w:tcPr>
            <w:tcW w:w="16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7"/>
              </w:rPr>
              <w:t>3/10/97</w:t>
            </w:r>
          </w:p>
        </w:tc>
        <w:tc>
          <w:tcPr>
            <w:tcW w:w="2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2,500*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15.00</w:t>
            </w:r>
          </w:p>
        </w:tc>
      </w:tr>
      <w:tr>
        <w:trPr>
          <w:trHeight w:val="203"/>
        </w:trPr>
        <w:tc>
          <w:tcPr>
            <w:tcW w:w="2440" w:type="dxa"/>
            <w:vAlign w:val="bottom"/>
          </w:tcPr>
          <w:p>
            <w:pPr>
              <w:spacing w:after="0"/>
              <w:rPr>
                <w:sz w:val="17"/>
                <w:szCs w:val="17"/>
                <w:color w:val="auto"/>
              </w:rPr>
            </w:pPr>
          </w:p>
        </w:tc>
        <w:tc>
          <w:tcPr>
            <w:tcW w:w="16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3/10/97</w:t>
            </w:r>
          </w:p>
        </w:tc>
        <w:tc>
          <w:tcPr>
            <w:tcW w:w="2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17.50</w:t>
            </w:r>
          </w:p>
        </w:tc>
      </w:tr>
      <w:tr>
        <w:trPr>
          <w:trHeight w:val="405"/>
        </w:trPr>
        <w:tc>
          <w:tcPr>
            <w:tcW w:w="2440" w:type="dxa"/>
            <w:vAlign w:val="bottom"/>
          </w:tcPr>
          <w:p>
            <w:pPr>
              <w:spacing w:after="0"/>
              <w:rPr>
                <w:sz w:val="24"/>
                <w:szCs w:val="24"/>
                <w:color w:val="auto"/>
              </w:rPr>
            </w:pPr>
          </w:p>
        </w:tc>
        <w:tc>
          <w:tcPr>
            <w:tcW w:w="16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7"/>
              </w:rPr>
              <w:t>3/11/97</w:t>
            </w:r>
          </w:p>
        </w:tc>
        <w:tc>
          <w:tcPr>
            <w:tcW w:w="2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(4,000)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11.1875</w:t>
            </w:r>
          </w:p>
        </w:tc>
      </w:tr>
      <w:tr>
        <w:trPr>
          <w:trHeight w:val="405"/>
        </w:trPr>
        <w:tc>
          <w:tcPr>
            <w:tcW w:w="2440" w:type="dxa"/>
            <w:vAlign w:val="bottom"/>
          </w:tcPr>
          <w:p>
            <w:pPr>
              <w:spacing w:after="0"/>
              <w:rPr>
                <w:sz w:val="24"/>
                <w:szCs w:val="24"/>
                <w:color w:val="auto"/>
              </w:rPr>
            </w:pPr>
          </w:p>
        </w:tc>
        <w:tc>
          <w:tcPr>
            <w:tcW w:w="16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7"/>
              </w:rPr>
              <w:t>3/18/97</w:t>
            </w:r>
          </w:p>
        </w:tc>
        <w:tc>
          <w:tcPr>
            <w:tcW w:w="2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2,500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10.75</w:t>
            </w:r>
          </w:p>
        </w:tc>
      </w:tr>
      <w:tr>
        <w:trPr>
          <w:trHeight w:val="405"/>
        </w:trPr>
        <w:tc>
          <w:tcPr>
            <w:tcW w:w="2440" w:type="dxa"/>
            <w:vAlign w:val="bottom"/>
          </w:tcPr>
          <w:p>
            <w:pPr>
              <w:spacing w:after="0"/>
              <w:rPr>
                <w:sz w:val="24"/>
                <w:szCs w:val="24"/>
                <w:color w:val="auto"/>
              </w:rPr>
            </w:pPr>
          </w:p>
        </w:tc>
        <w:tc>
          <w:tcPr>
            <w:tcW w:w="16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7"/>
              </w:rPr>
              <w:t>3/20/97</w:t>
            </w:r>
          </w:p>
        </w:tc>
        <w:tc>
          <w:tcPr>
            <w:tcW w:w="2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2,300*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15.00</w:t>
            </w:r>
          </w:p>
        </w:tc>
      </w:tr>
      <w:tr>
        <w:trPr>
          <w:trHeight w:val="203"/>
        </w:trPr>
        <w:tc>
          <w:tcPr>
            <w:tcW w:w="2440" w:type="dxa"/>
            <w:vAlign w:val="bottom"/>
          </w:tcPr>
          <w:p>
            <w:pPr>
              <w:spacing w:after="0"/>
              <w:rPr>
                <w:sz w:val="17"/>
                <w:szCs w:val="17"/>
                <w:color w:val="auto"/>
              </w:rPr>
            </w:pPr>
          </w:p>
        </w:tc>
        <w:tc>
          <w:tcPr>
            <w:tcW w:w="16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3/20/97</w:t>
            </w:r>
          </w:p>
        </w:tc>
        <w:tc>
          <w:tcPr>
            <w:tcW w:w="2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17.50</w:t>
            </w:r>
          </w:p>
        </w:tc>
      </w:tr>
      <w:tr>
        <w:trPr>
          <w:trHeight w:val="405"/>
        </w:trPr>
        <w:tc>
          <w:tcPr>
            <w:tcW w:w="2440" w:type="dxa"/>
            <w:vAlign w:val="bottom"/>
          </w:tcPr>
          <w:p>
            <w:pPr>
              <w:spacing w:after="0"/>
              <w:rPr>
                <w:sz w:val="24"/>
                <w:szCs w:val="24"/>
                <w:color w:val="auto"/>
              </w:rPr>
            </w:pPr>
          </w:p>
        </w:tc>
        <w:tc>
          <w:tcPr>
            <w:tcW w:w="16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7"/>
              </w:rPr>
              <w:t>3/21/97</w:t>
            </w:r>
          </w:p>
        </w:tc>
        <w:tc>
          <w:tcPr>
            <w:tcW w:w="2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15.00</w:t>
            </w:r>
          </w:p>
        </w:tc>
      </w:tr>
      <w:tr>
        <w:trPr>
          <w:trHeight w:val="203"/>
        </w:trPr>
        <w:tc>
          <w:tcPr>
            <w:tcW w:w="2440" w:type="dxa"/>
            <w:vAlign w:val="bottom"/>
          </w:tcPr>
          <w:p>
            <w:pPr>
              <w:spacing w:after="0"/>
              <w:rPr>
                <w:sz w:val="17"/>
                <w:szCs w:val="17"/>
                <w:color w:val="auto"/>
              </w:rPr>
            </w:pPr>
          </w:p>
        </w:tc>
        <w:tc>
          <w:tcPr>
            <w:tcW w:w="162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3/21/97</w:t>
            </w:r>
          </w:p>
        </w:tc>
        <w:tc>
          <w:tcPr>
            <w:tcW w:w="2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17.50</w:t>
            </w:r>
          </w:p>
        </w:tc>
      </w:tr>
      <w:tr>
        <w:trPr>
          <w:trHeight w:val="608"/>
        </w:trPr>
        <w:tc>
          <w:tcPr>
            <w:tcW w:w="2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20" w:type="dxa"/>
            <w:vAlign w:val="bottom"/>
          </w:tcPr>
          <w:p>
            <w:pPr>
              <w:jc w:val="right"/>
              <w:ind w:right="2072"/>
              <w:spacing w:after="0"/>
              <w:rPr>
                <w:sz w:val="20"/>
                <w:szCs w:val="20"/>
                <w:color w:val="auto"/>
              </w:rPr>
            </w:pPr>
            <w:r>
              <w:rPr>
                <w:rFonts w:ascii="Courier New" w:cs="Courier New" w:eastAsia="Courier New" w:hAnsi="Courier New"/>
                <w:sz w:val="18"/>
                <w:szCs w:val="18"/>
                <w:color w:val="auto"/>
              </w:rPr>
              <w:t>6</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17"/>
                <w:szCs w:val="17"/>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8"/>
                <w:szCs w:val="18"/>
                <w:color w:val="auto"/>
                <w:w w:val="97"/>
              </w:rPr>
              <w:t>Purchase or</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15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Purchase or</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Shareholder</w:t>
            </w:r>
          </w:p>
        </w:tc>
        <w:tc>
          <w:tcPr>
            <w:tcW w:w="1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Sale Date</w:t>
            </w:r>
          </w:p>
        </w:tc>
        <w:tc>
          <w:tcPr>
            <w:tcW w:w="2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9"/>
              </w:rPr>
              <w:t>Purchased or (Sold)</w:t>
            </w:r>
          </w:p>
        </w:tc>
        <w:tc>
          <w:tcPr>
            <w:tcW w:w="15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Sale Price</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620" w:type="dxa"/>
            <w:vAlign w:val="bottom"/>
          </w:tcPr>
          <w:p>
            <w:pPr>
              <w:jc w:val="center"/>
              <w:ind w:left="292"/>
              <w:spacing w:after="0" w:line="203" w:lineRule="exact"/>
              <w:rPr>
                <w:sz w:val="20"/>
                <w:szCs w:val="20"/>
                <w:color w:val="auto"/>
              </w:rPr>
            </w:pPr>
            <w:r>
              <w:rPr>
                <w:rFonts w:ascii="Courier New" w:cs="Courier New" w:eastAsia="Courier New" w:hAnsi="Courier New"/>
                <w:sz w:val="18"/>
                <w:szCs w:val="18"/>
                <w:color w:val="auto"/>
                <w:w w:val="97"/>
              </w:rPr>
              <w:t>-----------</w:t>
            </w:r>
          </w:p>
        </w:tc>
        <w:tc>
          <w:tcPr>
            <w:tcW w:w="2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40" w:type="dxa"/>
            <w:vAlign w:val="bottom"/>
          </w:tcPr>
          <w:p>
            <w:pPr>
              <w:spacing w:after="0"/>
              <w:rPr>
                <w:sz w:val="24"/>
                <w:szCs w:val="24"/>
                <w:color w:val="auto"/>
              </w:rPr>
            </w:pPr>
          </w:p>
        </w:tc>
        <w:tc>
          <w:tcPr>
            <w:tcW w:w="16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7"/>
              </w:rPr>
              <w:t>3/26/97</w:t>
            </w:r>
          </w:p>
        </w:tc>
        <w:tc>
          <w:tcPr>
            <w:tcW w:w="2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3,000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11.125</w:t>
            </w:r>
          </w:p>
        </w:tc>
      </w:tr>
      <w:tr>
        <w:trPr>
          <w:trHeight w:val="405"/>
        </w:trPr>
        <w:tc>
          <w:tcPr>
            <w:tcW w:w="2440" w:type="dxa"/>
            <w:vAlign w:val="bottom"/>
          </w:tcPr>
          <w:p>
            <w:pPr>
              <w:spacing w:after="0"/>
              <w:rPr>
                <w:sz w:val="24"/>
                <w:szCs w:val="24"/>
                <w:color w:val="auto"/>
              </w:rPr>
            </w:pPr>
          </w:p>
        </w:tc>
        <w:tc>
          <w:tcPr>
            <w:tcW w:w="1620" w:type="dxa"/>
            <w:vAlign w:val="bottom"/>
          </w:tcPr>
          <w:p>
            <w:pPr>
              <w:jc w:val="center"/>
              <w:ind w:left="272"/>
              <w:spacing w:after="0"/>
              <w:rPr>
                <w:sz w:val="20"/>
                <w:szCs w:val="20"/>
                <w:color w:val="auto"/>
              </w:rPr>
            </w:pPr>
            <w:r>
              <w:rPr>
                <w:rFonts w:ascii="Courier New" w:cs="Courier New" w:eastAsia="Courier New" w:hAnsi="Courier New"/>
                <w:sz w:val="18"/>
                <w:szCs w:val="18"/>
                <w:color w:val="auto"/>
                <w:w w:val="97"/>
              </w:rPr>
              <w:t>3/27/97</w:t>
            </w:r>
          </w:p>
        </w:tc>
        <w:tc>
          <w:tcPr>
            <w:tcW w:w="2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3,000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11.00</w:t>
            </w:r>
          </w:p>
        </w:tc>
      </w:tr>
    </w:tbl>
    <w:p>
      <w:pPr>
        <w:spacing w:after="0" w:line="207" w:lineRule="exact"/>
        <w:rPr>
          <w:sz w:val="20"/>
          <w:szCs w:val="20"/>
          <w:color w:val="auto"/>
        </w:rPr>
      </w:pPr>
    </w:p>
    <w:p>
      <w:pPr>
        <w:jc w:val="both"/>
        <w:ind w:right="2199" w:firstLine="948"/>
        <w:spacing w:after="0" w:line="235" w:lineRule="auto"/>
        <w:rPr>
          <w:sz w:val="20"/>
          <w:szCs w:val="20"/>
          <w:color w:val="auto"/>
        </w:rPr>
      </w:pPr>
      <w:r>
        <w:rPr>
          <w:rFonts w:ascii="Courier New" w:cs="Courier New" w:eastAsia="Courier New" w:hAnsi="Courier New"/>
          <w:sz w:val="18"/>
          <w:szCs w:val="18"/>
          <w:color w:val="auto"/>
        </w:rPr>
        <w:t>*These shares of Common Stock were acquired by the reporting person with regard to the assignment of certain puts.</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The transactions were effected in the over-the-counter market.</w:t>
      </w:r>
    </w:p>
    <w:p>
      <w:pPr>
        <w:spacing w:after="0" w:line="207" w:lineRule="exact"/>
        <w:rPr>
          <w:sz w:val="20"/>
          <w:szCs w:val="20"/>
          <w:color w:val="auto"/>
        </w:rPr>
      </w:pPr>
    </w:p>
    <w:p>
      <w:pPr>
        <w:ind w:right="1779" w:firstLine="956"/>
        <w:spacing w:after="0" w:line="290" w:lineRule="auto"/>
        <w:tabs>
          <w:tab w:leader="none" w:pos="136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other person has the right to receive or the power to direct the receipt of dividends from, or the proceeds from the sale of such securities.</w:t>
      </w:r>
    </w:p>
    <w:p>
      <w:pPr>
        <w:spacing w:after="0" w:line="164" w:lineRule="exact"/>
        <w:rPr>
          <w:rFonts w:ascii="Courier New" w:cs="Courier New" w:eastAsia="Courier New" w:hAnsi="Courier New"/>
          <w:sz w:val="16"/>
          <w:szCs w:val="16"/>
          <w:color w:val="auto"/>
        </w:rPr>
      </w:pPr>
    </w:p>
    <w:p>
      <w:pPr>
        <w:ind w:left="1380" w:hanging="424"/>
        <w:spacing w:after="0"/>
        <w:tabs>
          <w:tab w:leader="none" w:pos="138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483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Exhibit A - Agreement, dated April 9, 1997, among the reporting persons by which they have agreed to file this Schedule 13D and all necessary amendments, as required by Rule 13d-1(f).</w:t>
      </w: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7" w:name="page8"/>
    <w:bookmarkEnd w:id="7"/>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their knowledge and belief, each of the undersigned hereby certifies that the information set forth in this Schedule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9, 1997</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Harvey Sandler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Harvey Sandler</w:t>
      </w:r>
    </w:p>
    <w:p>
      <w:pPr>
        <w:spacing w:after="0" w:line="200" w:lineRule="exact"/>
        <w:rPr>
          <w:sz w:val="20"/>
          <w:szCs w:val="20"/>
          <w:color w:val="auto"/>
        </w:rPr>
      </w:pP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Phyllis Sandler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440"/>
        <w:spacing w:after="0"/>
        <w:rPr>
          <w:sz w:val="20"/>
          <w:szCs w:val="20"/>
          <w:color w:val="auto"/>
        </w:rPr>
      </w:pPr>
      <w:r>
        <w:rPr>
          <w:rFonts w:ascii="Courier New" w:cs="Courier New" w:eastAsia="Courier New" w:hAnsi="Courier New"/>
          <w:sz w:val="18"/>
          <w:szCs w:val="18"/>
          <w:color w:val="auto"/>
        </w:rPr>
        <w:t>Phyllis Sandler</w:t>
      </w: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ATTENTION: INTENTIONAL MISSTATEMENTS OR OMISSIONS OF FACT</w:t>
      </w:r>
    </w:p>
    <w:p>
      <w:pPr>
        <w:ind w:left="1060"/>
        <w:spacing w:after="0" w:line="238" w:lineRule="auto"/>
        <w:rPr>
          <w:sz w:val="20"/>
          <w:szCs w:val="20"/>
          <w:color w:val="auto"/>
        </w:rPr>
      </w:pPr>
      <w:r>
        <w:rPr>
          <w:rFonts w:ascii="Courier New" w:cs="Courier New" w:eastAsia="Courier New" w:hAnsi="Courier New"/>
          <w:sz w:val="18"/>
          <w:szCs w:val="18"/>
          <w:color w:val="auto"/>
        </w:rPr>
        <w:t>CONSTITUTE FEDERAL CRIMINAL VIOLATIONS (SEE 18 U.S.C. 1001).</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8" w:name="page9"/>
    <w:bookmarkEnd w:id="8"/>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as amended, the undersigned hereby agree to the joint filing on behalf of each of them on a statement on Schedule 13D (including amendments thereto) with respect to the Common Stock, par value $0.001 per share, and securities convertible into Common Stock of CELLULAR TECHNICAL SERVICES CO., INC., and that this Agreement be included as an Exhibit to such joint filing.</w:t>
      </w:r>
    </w:p>
    <w:p>
      <w:pPr>
        <w:spacing w:after="0" w:line="210"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this 9th day of April, 1997.</w:t>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Harvey Sandler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Harvey Sandler</w:t>
      </w:r>
    </w:p>
    <w:p>
      <w:pPr>
        <w:spacing w:after="0" w:line="200" w:lineRule="exact"/>
        <w:rPr>
          <w:sz w:val="20"/>
          <w:szCs w:val="20"/>
          <w:color w:val="auto"/>
        </w:rPr>
      </w:pP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Phyllis Sandler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440"/>
        <w:spacing w:after="0"/>
        <w:rPr>
          <w:sz w:val="20"/>
          <w:szCs w:val="20"/>
          <w:color w:val="auto"/>
        </w:rPr>
      </w:pPr>
      <w:r>
        <w:rPr>
          <w:rFonts w:ascii="Courier New" w:cs="Courier New" w:eastAsia="Courier New" w:hAnsi="Courier New"/>
          <w:sz w:val="18"/>
          <w:szCs w:val="18"/>
          <w:color w:val="auto"/>
        </w:rPr>
        <w:t>Phyllis Sandler</w:t>
      </w: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ATTENTION: INTENTIONAL MISSTATEMENTS OR OMISSIONS OF FACT</w:t>
      </w:r>
    </w:p>
    <w:p>
      <w:pPr>
        <w:ind w:left="1060"/>
        <w:spacing w:after="0" w:line="238" w:lineRule="auto"/>
        <w:rPr>
          <w:sz w:val="20"/>
          <w:szCs w:val="20"/>
          <w:color w:val="auto"/>
        </w:rPr>
      </w:pPr>
      <w:r>
        <w:rPr>
          <w:rFonts w:ascii="Courier New" w:cs="Courier New" w:eastAsia="Courier New" w:hAnsi="Courier New"/>
          <w:sz w:val="18"/>
          <w:szCs w:val="18"/>
          <w:color w:val="auto"/>
        </w:rPr>
        <w:t>CONSTITUTE FEDERAL CRIMINAL VIOLATIONS (SEE 18 U.S.C. 1001).</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lvl w:ilvl="1">
      <w:lvlJc w:val="left"/>
      <w:lvlText w:val="1"/>
      <w:numFmt w:val="bullet"/>
      <w:start w:val="1"/>
    </w:lvl>
    <w:lvl w:ilvl="2">
      <w:lvlJc w:val="left"/>
      <w:lvlText w:val="%3"/>
      <w:numFmt w:val="upperLetter"/>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lvl w:ilvl="1">
      <w:lvlJc w:val="left"/>
      <w:lvlText w:val="1"/>
      <w:numFmt w:val="bullet"/>
      <w:start w:val="1"/>
    </w:lvl>
    <w:lvl w:ilvl="2">
      <w:lvlJc w:val="left"/>
      <w:lvlText w:val="%3"/>
      <w:numFmt w:val="upperLetter"/>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lowerLetter"/>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lowerLetter"/>
      <w:start w:val="2"/>
    </w:lvl>
  </w:abstractNum>
  <w:abstractNum w:abstractNumId="19">
    <w:nsid w:val="6763845E"/>
    <w:multiLevelType w:val="hybridMultilevel"/>
    <w:lvl w:ilvl="0">
      <w:lvlJc w:val="left"/>
      <w:lvlText w:val="%1"/>
      <w:numFmt w:val="decimal"/>
      <w:start w:val="1"/>
    </w:lvl>
    <w:lvl w:ilvl="1">
      <w:lvlJc w:val="left"/>
      <w:lvlText w:val="(%2)"/>
      <w:numFmt w:val="lowerLetter"/>
      <w:start w:val="3"/>
    </w:lvl>
  </w:abstractNum>
  <w:abstractNum w:abstractNumId="20">
    <w:nsid w:val="75A2A8D4"/>
    <w:multiLevelType w:val="hybridMultilevel"/>
    <w:lvl w:ilvl="0">
      <w:lvlJc w:val="left"/>
      <w:lvlText w:val="%1."/>
      <w:numFmt w:val="decimal"/>
      <w:start w:val="2"/>
    </w:lvl>
    <w:lvl w:ilvl="1">
      <w:lvlJc w:val="left"/>
      <w:lvlText w:val="(%2)"/>
      <w:numFmt w:val="lowerLetter"/>
      <w:start w:val="2"/>
    </w:lvl>
  </w:abstractNum>
  <w:abstractNum w:abstractNumId="21">
    <w:nsid w:val="8EDBDAB"/>
    <w:multiLevelType w:val="hybridMultilevel"/>
    <w:lvl w:ilvl="0">
      <w:lvlJc w:val="left"/>
      <w:lvlText w:val="(%1)"/>
      <w:numFmt w:val="lowerLetter"/>
      <w:start w:val="3"/>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lowerLetter"/>
      <w:start w:val="2"/>
    </w:lvl>
  </w:abstractNum>
  <w:abstractNum w:abstractNumId="25">
    <w:nsid w:val="189A769B"/>
    <w:multiLevelType w:val="hybridMultilevel"/>
    <w:lvl w:ilvl="0">
      <w:lvlJc w:val="left"/>
      <w:lvlText w:val="(%1)"/>
      <w:numFmt w:val="lowerLetter"/>
      <w:start w:val="3"/>
    </w:lvl>
  </w:abstractNum>
  <w:abstractNum w:abstractNumId="26">
    <w:nsid w:val="54E49EB4"/>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2019-12-12T07:25:42Z</dcterms:created>
  <dcterms:modified xsi:type="dcterms:W3CDTF">2019-12-12T07:25:42Z</dcterms:modified>
</cp:coreProperties>
</file>